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specifically in web and mobile applications. Proficient in leading development projects, utilizing modern technologies, and delivering high-quality software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SQL, Ruby,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Node.js, Ruby on Rails, ASP.NET,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Xamarin, Ionic, Cordova, Apache PhoneGap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Microsoft SQL Server, Redis,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Git, AWS, Azure,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application development and consistent environments for deployment, which streamlined collaboration across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by optimizing the rendering of components and managing the application state efficiently,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mobile and web clients, ensuring high availability and efficient data access to backend services, promoting better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which improved resource utilization and reduced operational costs while enhancing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resulting in reduced lead time for code releases and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enhancing team productivity through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progress, ensuring timely delivery of project milestones aligned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database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retrieval processes, ensuring data integrity while meeting application demands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web applications by implementing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accessibility for a larger audience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applications, which led to a 30% reduction in post-deployment bugs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technology evaluations and presented findings on emerging trends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guiding strategic technical direction and future project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 to design and prototype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customer needs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user interfaces while ensuring robust backend services, which improved project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clients to gather requirements and translated them into technical specifications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optimization, ensuring efficiency and data integrity in application interactions while providing analytical insights to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coverage of tests and contributing to a significant drop in critical defects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redundancy in the codebase and improved maintainability for future enhancements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microservices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streamlining development and testing workflows, increasing deployment frequency and minimizing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existing systems to enhance functionality and enable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 and documentation of API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provided constructive feedback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culture of quality and continuous improvement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functionalities that facilitated business analytics and reporting features for clients, enhancing data-driven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within the application environment, which improved client trust and satisfaction with financial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designs that met both functional and aesthetic standards, contributing to positive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regarding project scopes and constraints,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remote collaboration, which enhanced overall team synergy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with legacy systems, gaining exposure to emerging technologies and tools, and impacting project life cycles positively by reducing downtime in critical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features of the existing web application, ensuring seamless integration and interaction with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sharing insights on sprint retrospectives and planning meetings which facilitated continuous improvement during the development cycle, leading to a better alignment of goals in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