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designing and developing high-performance web and mobile applications. Proficient in architecting back-end systems and integrating with external platforms, driving technology solutions that enhance financial workflows and support scalable solutions within the fintech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S3, AWS RDS, AWS ECS/EKS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complex financial workflows including invoicing and payment distribution, enhancing system performance by 40% through optimized code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internal and external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synchronization efficiency and reducing the processing time for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and consistent code quality checks, which led to a 25% increase in delivery speed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a user-centric interface that reduced customer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lowering operational costs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finance stakeholders to translate intricate business rules into backend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financial transactions adhered to compliance regulations and audit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updates across platforms, which provided clients with improved transactional visibility and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IAM roles and permissions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alongside robust logging practices, ensuring that sensitive financial data was both secured and easily retrievable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and debugging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potential bottlenecks and resolving them to maintain high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automation of repetitive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thereby increasing productivity amongst development teams and reallocating resources towards critical project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backend performance metrics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necessary adjustments, leading to a consistent overall application availability rate of over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best practices by conducting code reviews and mentoring junior developers, fostering a culture of continuous improvement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management for internal applications and improving cross-team collaboration in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solutions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compliance with organizational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streamlining the deployment process across environments while ensuring consistent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test coverage and ensuring higher code quality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sessions and daily stand-ups, which promoted transparency and improved task delivery timelines by fostering team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incorporate user feedback into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satisfaction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track of system performance, allowing for real-time metrics and alerts for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protocols by integrating OAuth 2.0 for user authentication within applications, ensuring all user data was encrypted and protected against unauthorized access.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integrating client feedback to build features that elevated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modularity and enhance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database management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reliable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collaborative coding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functionalities were validated, and improving code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identify project requirements and deliver basic solutions in alignment with customer needs, enhancing service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enhancing workflow efficiency where client applications showed increased user activity by 15% within the first quarter.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