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specializing in web and mobile applications. Proven expertise in ServiceNow development, particularly in Software Asset Management (SAM) Pro, utilizing strong analytical skills to improve operational efficiencies and compliance. Adept in leveraging industry best practices for software lifecycle management and integration solutions, with a commitment to delivering high-quality technical documentation and collaborative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ServiceNow Technologies:</w:t>
      </w:r>
      <w:r w:rsidRPr="00C3688B">
        <w:rPr>
          <w:rFonts w:ascii="Arial" w:hAnsi="Arial" w:cs="Arial"/>
          <w:color w:val="424242" w:themeColor="text1" w:themeShade="BF"/>
          <w:sz w:val="20"/>
          <w:szCs w:val="20"/>
        </w:rPr>
        <w:t xml:space="preserve"> ServiceNow SAM Pro, ServiceNow Discovery, IntegrationHub, REST APIs, SOAP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Frameworks:</w:t>
      </w:r>
      <w:r w:rsidRPr="00C3688B">
        <w:rPr>
          <w:rFonts w:ascii="Arial" w:hAnsi="Arial" w:cs="Arial"/>
          <w:color w:val="424242" w:themeColor="text1" w:themeShade="BF"/>
          <w:sz w:val="20"/>
          <w:szCs w:val="20"/>
        </w:rPr>
        <w:t xml:space="preserve"> Git, Jira, Agile, Scrum, Visual Studio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&amp; Reporting:</w:t>
      </w:r>
      <w:r w:rsidRPr="00C3688B">
        <w:rPr>
          <w:rFonts w:ascii="Arial" w:hAnsi="Arial" w:cs="Arial"/>
          <w:color w:val="424242" w:themeColor="text1" w:themeShade="BF"/>
          <w:sz w:val="20"/>
          <w:szCs w:val="20"/>
        </w:rPr>
        <w:t xml:space="preserve"> MySQL, Oracle, Tableau, Power BI, ServiceNow Reporting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Integration Technologies:</w:t>
      </w:r>
      <w:r w:rsidRPr="00C3688B">
        <w:rPr>
          <w:rFonts w:ascii="Arial" w:hAnsi="Arial" w:cs="Arial"/>
          <w:color w:val="424242" w:themeColor="text1" w:themeShade="BF"/>
          <w:sz w:val="20"/>
          <w:szCs w:val="20"/>
        </w:rPr>
        <w:t xml:space="preserve"> AWS, Azure, Docker, Kubernetes, VMware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features within </w:t>
      </w:r>
      <w:r w:rsidRPr="00C3688B">
        <w:rPr>
          <w:rFonts w:ascii="Arial" w:hAnsi="Arial" w:cs="Arial"/>
          <w:b/>
          <w:color w:val="424242" w:themeColor="text1" w:themeShade="BF"/>
          <w:sz w:val="20"/>
          <w:szCs w:val="20"/>
        </w:rPr>
        <w:t xml:space="preserve">ServiceNow SAM Pro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compliance and license positioning by developing intricate workflows, business rules, and client scripts while ensuring effective usage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fine-tune software asset management practices, utilizing advanced capabilities of </w:t>
      </w:r>
      <w:r w:rsidRPr="00C3688B">
        <w:rPr>
          <w:rFonts w:ascii="Arial" w:hAnsi="Arial" w:cs="Arial"/>
          <w:b/>
          <w:color w:val="424242" w:themeColor="text1" w:themeShade="BF"/>
          <w:sz w:val="20"/>
          <w:szCs w:val="20"/>
        </w:rPr>
        <w:t xml:space="preserve">ServiceNow Discovery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accurate software installation data seamlessly feeding into </w:t>
      </w:r>
      <w:r w:rsidRPr="00C3688B">
        <w:rPr>
          <w:rFonts w:ascii="Arial" w:hAnsi="Arial" w:cs="Arial"/>
          <w:b/>
          <w:color w:val="424242" w:themeColor="text1" w:themeShade="BF"/>
          <w:sz w:val="20"/>
          <w:szCs w:val="20"/>
        </w:rPr>
        <w:t xml:space="preserve">SAM Pro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health checks and performance tuning of the SAM module, applying industry standards to ensure maintenance of operability for custom configurations and continuous improvements based on </w:t>
      </w:r>
      <w:r w:rsidRPr="00C3688B">
        <w:rPr>
          <w:rFonts w:ascii="Arial" w:hAnsi="Arial" w:cs="Arial"/>
          <w:b/>
          <w:color w:val="424242" w:themeColor="text1" w:themeShade="BF"/>
          <w:sz w:val="20"/>
          <w:szCs w:val="20"/>
        </w:rPr>
        <w:t xml:space="preserve">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development of custom integrations between SAM Pro and external systems such as </w:t>
      </w:r>
      <w:r w:rsidRPr="00C3688B">
        <w:rPr>
          <w:rFonts w:ascii="Arial" w:hAnsi="Arial" w:cs="Arial"/>
          <w:b/>
          <w:color w:val="424242" w:themeColor="text1" w:themeShade="BF"/>
          <w:sz w:val="20"/>
          <w:szCs w:val="20"/>
        </w:rPr>
        <w:t xml:space="preserve">Procurement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IntegrationHub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syncing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initiatives to drive software normalization and reconciliation processes within SAM Pro, identifying opportunities for license optimization and effective cost management practices using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detailing design specifications and configuration guides for </w:t>
      </w:r>
      <w:r w:rsidRPr="00C3688B">
        <w:rPr>
          <w:rFonts w:ascii="Arial" w:hAnsi="Arial" w:cs="Arial"/>
          <w:b/>
          <w:color w:val="424242" w:themeColor="text1" w:themeShade="BF"/>
          <w:sz w:val="20"/>
          <w:szCs w:val="20"/>
        </w:rPr>
        <w:t xml:space="preserve">SAM Pro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stakeholder understanding and operational alignment across various IT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actionable insights into software consumption through advanced reporting and dashboards created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ServiceNow Reporting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data-driven decision-making among management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and knowledge transfers to junior analysts, enhancing team competencies in SAM methodologies and bolstering overall project efficiency while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vendor relationship management by implementing </w:t>
      </w:r>
      <w:r w:rsidRPr="00C3688B">
        <w:rPr>
          <w:rFonts w:ascii="Arial" w:hAnsi="Arial" w:cs="Arial"/>
          <w:b/>
          <w:color w:val="424242" w:themeColor="text1" w:themeShade="BF"/>
          <w:sz w:val="20"/>
          <w:szCs w:val="20"/>
        </w:rPr>
        <w:t xml:space="preserve">Publisher Packs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key industry tools including </w:t>
      </w:r>
      <w:r w:rsidRPr="00C3688B">
        <w:rPr>
          <w:rFonts w:ascii="Arial" w:hAnsi="Arial" w:cs="Arial"/>
          <w:b/>
          <w:color w:val="424242" w:themeColor="text1" w:themeShade="BF"/>
          <w:sz w:val="20"/>
          <w:szCs w:val="20"/>
        </w:rPr>
        <w:t xml:space="preserve">Microsoft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software licensing compliance aligned with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code reviews to uphold high-quality standards and promote best practices 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enhancing project outcomes through collaborative input and continuous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Strategically enhanced service delivery for SAAS applications by integrating </w:t>
      </w:r>
      <w:r w:rsidRPr="00C3688B">
        <w:rPr>
          <w:rFonts w:ascii="Arial" w:hAnsi="Arial" w:cs="Arial"/>
          <w:b/>
          <w:color w:val="424242" w:themeColor="text1" w:themeShade="BF"/>
          <w:sz w:val="20"/>
          <w:szCs w:val="20"/>
        </w:rPr>
        <w:t xml:space="preserve">Agile/Scrum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resulting in faster product releases and improved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ITIL v4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to strengthen governance over IT asset management, demonstrating leadership in aligning technology management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setup multiple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for clients, reinforcing IT asset management pipelines and optimizing data integrity using best practices in integration and software lifecycle management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procedures for </w:t>
      </w:r>
      <w:r w:rsidRPr="00C3688B">
        <w:rPr>
          <w:rFonts w:ascii="Arial" w:hAnsi="Arial" w:cs="Arial"/>
          <w:b/>
          <w:bCs/>
          <w:color w:val="424242" w:themeColor="text1" w:themeShade="BF"/>
          <w:sz w:val="20"/>
        </w:rPr>
        <w:t xml:space="preserve">ServiceNow SAM Pro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every module aligned with business requirements and providing detailed results to stakeholders for quality assurance and project oversight.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Partnered with IT finance teams to gather requirements for software licensing and asset management, ensuring accurate forecasting and budget planning through effective use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reporting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existing software asset management processes to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leverage improved visibility and control over IT assets while aligning with compliance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client-centric solutions for software discovery tools, integrating existing </w:t>
      </w:r>
      <w:r w:rsidRPr="00C3688B">
        <w:rPr>
          <w:rFonts w:ascii="Arial" w:hAnsi="Arial" w:cs="Arial"/>
          <w:b/>
          <w:bCs/>
          <w:color w:val="424242" w:themeColor="text1" w:themeShade="BF"/>
          <w:sz w:val="20"/>
        </w:rPr>
        <w:t xml:space="preserve">CMDB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flows to streamline asset tracking and ensure accurate </w:t>
      </w:r>
      <w:r w:rsidRPr="00C3688B">
        <w:rPr>
          <w:rFonts w:ascii="Arial" w:hAnsi="Arial" w:cs="Arial"/>
          <w:b/>
          <w:bCs/>
          <w:color w:val="424242" w:themeColor="text1" w:themeShade="BF"/>
          <w:sz w:val="20"/>
        </w:rPr>
        <w:t xml:space="preserve">license positions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educate clients on the benefits of </w:t>
      </w:r>
      <w:r w:rsidRPr="00C3688B">
        <w:rPr>
          <w:rFonts w:ascii="Arial" w:hAnsi="Arial" w:cs="Arial"/>
          <w:b/>
          <w:bCs/>
          <w:color w:val="424242" w:themeColor="text1" w:themeShade="BF"/>
          <w:sz w:val="20"/>
        </w:rPr>
        <w:t xml:space="preserve">ServiceNow SAM Pro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on compliance and cost-saving measures through effective software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dedicated team effort aimed at enhancing user experience on vendor management interactions through efficient use of </w:t>
      </w:r>
      <w:r w:rsidRPr="00C3688B">
        <w:rPr>
          <w:rFonts w:ascii="Arial" w:hAnsi="Arial" w:cs="Arial"/>
          <w:b/>
          <w:bCs/>
          <w:color w:val="424242" w:themeColor="text1" w:themeShade="BF"/>
          <w:sz w:val="20"/>
        </w:rPr>
        <w:t xml:space="preserve">SOAP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streamlined communication channels.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software development lifecycle (SDLC) methodologies to enhance project delivery timelines and application integration, ensuring alignment with client expectations and industry standards.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initial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focus on user interface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dynamic interaction and experience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specifications gathering to optimize application functionalities, leveraging early experiences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tactics for cohesive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for applications, implementing best practices in usability and functionality testing, incorporating client feedback to drive improvements in user interaction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data management practices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efficient data retrieval and error reduction in application systems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agile development team during application roll-out phases, enhancing collaborative efforts through effective use of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milestones and resolving issues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simple integration interfaces between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client databases, enhancing data workflows and overall operational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delivering intuitive software solutions across platforms, focusing on responsive design and usability, resulting in a notable increase in client satisfaction with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