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Software Engineer with 11 years of experience in software development, focusing on web and mobile applications. Proven expertise in designing, implementing, and deploying machine learning models to combat financial crimes while promoting a safe user environment. Strong collaboration skills, leveraging extensive knowledge in machine learning technologies and data-driven solutions to meet strategic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Kotlin, Java, R, C++, 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 SpaCy, NLTK,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GCP, AWS, BigQuery, Apache Spark, Airflow, Prefect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NLP and ML Techniques:</w:t>
      </w:r>
      <w:r w:rsidRPr="00C3688B">
        <w:rPr>
          <w:rFonts w:ascii="Arial" w:hAnsi="Arial" w:cs="Arial"/>
          <w:color w:val="424242" w:themeColor="text1" w:themeShade="BF"/>
          <w:sz w:val="20"/>
          <w:szCs w:val="20"/>
        </w:rPr>
        <w:t xml:space="preserve"> Natural Language Processing, Graph Neural Networks, Reinforcement Learning, Transformer models, BERT, LLMs, Model Explainability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DevOps, CI/CD, Version Control, Unit Testing, Documentation,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diverse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detect financial anomalies effectively, enhancing overall system performance through the practical application of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collaboration with product, engineering, and legal teams to refine data acquisition strategies and enrich datasets used for model training,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practices ensuring transparency and audit compliance for machine learning models in production, leveraging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gaps in existing machine learning processes and led initiatives to incorporate latest developments in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accuracy of transaction analyses.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innovative culture by leading workshops on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and their implementation in financial crime detection, encouraging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ETL pipelines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extraction and loading, which improved data accessibility for analysis and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on machine learning implementations to ensure adherence to coding standards and </w:t>
      </w:r>
      <w:r w:rsidRPr="00C3688B">
        <w:rPr>
          <w:rFonts w:ascii="Arial" w:hAnsi="Arial" w:cs="Arial"/>
          <w:b/>
          <w:color w:val="424242" w:themeColor="text1" w:themeShade="BF"/>
          <w:sz w:val="20"/>
          <w:szCs w:val="20"/>
        </w:rPr>
        <w:t xml:space="preserve">ML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model performance by performing extensive feature engineering and hyperparameter tuning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significant improvements in predictive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implement active learning strategies and accelerate the model retraining process in response to shifting financial crime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visualization tools utilizing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Python's 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library to present actionable insights derived from machine learning outputs to stakeholders,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in regulatory compliance discussions to ensure deployment of machine learning models aligned with evolving regulations affecting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API integrations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of machine learning models, thus improving the application performance and reducing latency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cloud-based data storage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and model deployments that supported the business's expanding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requirements, accurately translating insights into technical specifications to facilitate model deployment with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solutions focusing on fraud detection, utilizing tools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XGBoost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strict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expose machine learning functionalities, allowing for secure and efficient access to model predictions by internal stakeholders and partners.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life cycle of various projects, ensuring that both frontend and backend elements worked seamlessly together through thorough testing and debugging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 models through extensive feature selection and preprocessing techniques, relying on libraries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boost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pipelines facilitating smooth data extraction from multiple sources, optimizing the analysis process and enriching model training data with real-time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leveraging machine learning predictions effectively within business workflows, ensuring all stakeholders understood limitations and capabilities.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applications used for processing user data, incorporating user feedback to improve overall functionality and experience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enhancing team collaboration and workflow efficiency in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implementation of web-based applications to track key performance indicators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valuable insights to clients over multiple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debug and resolve issues across various applications,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improving code quality via peer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user manuals and documentation for software applications, ensuring users have a clear understanding of software functionalities within the deployment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for the newly deployed applications, gathering feedback for iterative improvements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SaaS application that streamlined client interactions,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storage solutions, impacting over 100 users in an agile delivery framework.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