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in software development focusing on web and mobile applications. Proficient in AWS, React, and API development, with a proven track record in delivering efficient and scalable enterprise-level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PHP,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Angular, Node.js, Express, Spring Boot,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AWS Lambda,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optimizing for scalability and maintainability using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performance and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for integration with third-party services,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reviews and refactoring, leading to a 15% improvement in load times and overall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solutions,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time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OAuth for user authentication and data encryption, ensuring compliance with industry standards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tuning and monitoring on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reliability and efficiency of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Scrum methodologies, participating in sprint planning and retrospectives, delivering features on time while adapting to changing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static site generation into existing projects, yielding increased flexibility and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modernize legacy systems, successfully migrating monolithic applications to microservice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hackathons and innovation days, developing prototype applications that utilize emerging technologies and demonstrate the potential to drive business value.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efficiency and dynamic content delivery while collaborating closely with UX/UI designers.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Scheduled and conducted code reviews for peers, ensuring quality and adherence to standards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queries and optimized schema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processes, enhancing the overall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storage solutions, implementing effective data backup and recovery strategies for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fostering a culture of awareness and collective feedback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as part of Agile methodology, adapting quickly to evolving project requirements and suggesting solutions to overcome roadblocks.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reusability and reduce the development time for new features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web applications, aiding new developers in onboarding and understanding project environments rapidly.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core functionality while ensuring efficient code reuse and maintenance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user interfaces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interactions and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backend developers to integrate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minimal latency during 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codes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delivering functional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a legacy system to a modern stack, contributing to the consolidation of services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team projects by deploying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testing and deployment environments across multiple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planning meetings, providing insights on technical feasibility and timelines, ultimately leading to more successful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