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software developer with 11 years of experience specializing in web and mobile applications. Proven track record in designing and implementing AI-powered applications using JavaScript, .NET, and Python to enhance legal workflows and deliver substantial value. Strong understanding of LLM implementation, RAG architectures, and API integrations, complemented by excellent communication skills and exceptional client service. Experience in mentoring teams, optimizing development processes, and translating complex legal requirements into efficient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Django, Flask,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Services:</w:t>
      </w:r>
      <w:r w:rsidRPr="00C3688B">
        <w:rPr>
          <w:rFonts w:ascii="Arial" w:hAnsi="Arial" w:cs="Arial"/>
          <w:color w:val="424242" w:themeColor="text1" w:themeShade="BF"/>
          <w:sz w:val="20"/>
          <w:szCs w:val="20"/>
        </w:rPr>
        <w:t xml:space="preserve"> Azure, AWS, OpenAI APIs, RESTful services,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Bitbucket,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Architecture:</w:t>
      </w:r>
      <w:r w:rsidRPr="00C3688B">
        <w:rPr>
          <w:rFonts w:ascii="Arial" w:hAnsi="Arial" w:cs="Arial"/>
          <w:color w:val="424242" w:themeColor="text1" w:themeShade="BF"/>
          <w:sz w:val="20"/>
          <w:szCs w:val="20"/>
        </w:rPr>
        <w:t xml:space="preserve"> Authentication, Authorization, OWASP, RAG,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LLMs, Prompt Engineering, NLP, Retrieval-Augmented Generation, Model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AI-driven 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user-centric interfaces, and enhanced legal workflows to meet client needs and deliver timely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effective prompts and strengthened LLMs by integrating advanced </w:t>
      </w:r>
      <w:r w:rsidRPr="00C3688B">
        <w:rPr>
          <w:rFonts w:ascii="Arial" w:hAnsi="Arial" w:cs="Arial"/>
          <w:b/>
          <w:color w:val="424242" w:themeColor="text1" w:themeShade="BF"/>
          <w:sz w:val="20"/>
          <w:szCs w:val="20"/>
        </w:rPr>
        <w:t xml:space="preserve">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optimizing model outputs to enhance accuracy and reduce response hallucinations in </w:t>
      </w:r>
      <w:r w:rsidRPr="00C3688B">
        <w:rPr>
          <w:rFonts w:ascii="Arial" w:hAnsi="Arial" w:cs="Arial"/>
          <w:b/>
          <w:color w:val="424242" w:themeColor="text1" w:themeShade="BF"/>
          <w:sz w:val="20"/>
          <w:szCs w:val="20"/>
        </w:rPr>
        <w:t xml:space="preserve">legal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OpenAI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rigorously configuring and deploying innovative solutions within the legal domain to comply with industry standards and specifications while maintaining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robust security protocols into applications, safeguarding APIs and data flows, focused on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secure software development while fostering client trust and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cross-disciplinary teams to capture and translate legal requirements into technical specifications, employing strong customer service skills to ensure stakeholder satisfaction and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managed applications in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performance metrics, and enhancing reliability and scalability as new functionalities are introduced to support evolving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Continually updated knowledge on </w:t>
      </w:r>
      <w:r w:rsidRPr="00C3688B">
        <w:rPr>
          <w:rFonts w:ascii="Arial" w:hAnsi="Arial" w:cs="Arial"/>
          <w:b/>
          <w:color w:val="424242" w:themeColor="text1" w:themeShade="BF"/>
          <w:sz w:val="20"/>
          <w:szCs w:val="20"/>
        </w:rPr>
        <w:t xml:space="preserve">AI advancements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best practices in </w:t>
      </w:r>
      <w:r w:rsidRPr="00C3688B">
        <w:rPr>
          <w:rFonts w:ascii="Arial" w:hAnsi="Arial" w:cs="Arial"/>
          <w:b/>
          <w:color w:val="424242" w:themeColor="text1" w:themeShade="BF"/>
          <w:sz w:val="20"/>
          <w:szCs w:val="20"/>
        </w:rPr>
        <w:t xml:space="preserve">web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measures, fostering a culture of innovation and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supported legal professionals in utilizing AI applications effectively, enhancing their operational efficiency through structured learning initiatives and ongoing support while ensuring high levels of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for AI applications and workflows, ensuring comprehensive guides were available for legal staff, thereby promoting self-sufficiency and decreasing reliance on IT support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assessments to identify vulnerabilities, implementing remediation plans that emphasized adherence to compliance standards and maximizing the security posture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constructive feedback sessions with users, leveraging insights to optimize application performance and implement continuous improvements grounded in user-experience principles and technical analyses.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meetings focused on innovation within the firm, contributing insights into the integration of AI technologies in legal practices while aligning technical developments with organizational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implementation of responsive user interfaces that meet client functionality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diverse teams to maintain clean codebases and streamline development processes, enhancing overall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hosting environments, and promoting application reliability through proactive maintenance and strategic cloud service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to gather client requirements and translate them into technical tasks, emphasizing user-centered design principles in the development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and delivery (CI/CD) practices, automating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software release cycles and promote development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applications, enhancing interactivity and data retrieval capabilities, which facilitated dynamic user experiences and satisfied client expectations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system architecture and application functionalities, ensuring clarity and comprehensive understanding for stakeholders and technical teams for future reference.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coding standards, and providing constructive feedback to team members, fostering a collaborative and learning-oriented environment.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the foundational architecture for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robust functionality to address entry-level market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refining web applications,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cross-browser compatibility and optimize user experiences in various legal contexts.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features in a newly launched product, reinforcing teamwork and enhancing coding skills through hands-on mentoring in a fast-paced team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acceptance testing (UAT) by gathering feedback on </w:t>
      </w:r>
      <w:r w:rsidRPr="00C3688B">
        <w:rPr>
          <w:rFonts w:ascii="Arial" w:hAnsi="Arial" w:cs="Arial"/>
          <w:b/>
          <w:bCs/>
          <w:color w:val="424242" w:themeColor="text1" w:themeShade="BF"/>
          <w:sz w:val="20"/>
        </w:rPr>
        <w:t xml:space="preserve">new features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documenting user experiences, and relaying issues to technical teams for prompt resolution and follow-up 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sharing progress updates and collaborating with cross-functional teams to enhance project transparency and foster a sense of teamwork and urgency.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database queries and maintained data integrity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that end-user data remains accessible and reliable for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Expanded knowledge in application performance monitoring and troubleshooting, leveraging tools and analytics to optimize basic functionalities and ensure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