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healthcare data management and analytics. Proven expertise in driving client success through advanced analytics and building value frameworks for SaaS solutions. Adept in cross-functional collaboration, focusing on performance optimization and outcome measurement. Strong leadership skills in developing high-performing teams and delivering innovative technology solutions that enhance client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predictive models enhancing client engagement and improving healthcare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ROI framework utilized across multiple healthcare SaaS products to showcase business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product demonstrations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interfaces, improving user interaction and client presentations.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Consulting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articulate technical solutions and value propositions to healthcare executives.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analyze large datasets, yielding actionable insights for clients that enriched care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10 engineers,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integration/continuous deployment (CI/CD)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key performance indicators (KPIs)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 to track the success of value realization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playbooks for standardizing demonstrations and ROI models across various healthcare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cross-departmental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communication between Product Management and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strategic development of the company’s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patient outcome metrics across all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industry conferences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discussing strategies that drive market differentiation and improve healthcare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strategy by facilitating client workshops to gather requirements,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 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integration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technologies, ensuring secure and reliable access to patient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extraction, processing, and reporting, contributing to better financial outcomes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marketing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craft value-focused presentations, leveraging analytical data to support sales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code reviews to ensure adherence to quality standards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for feedback on product usability and functionality, iterating on design based on healthcare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development of a scalable API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allowed seamless data sharing between healthcare providers under compliance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hands-on training sessions for clients to effectively utilize analytics tools, resulting in increased adoption of healthcare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accuracy.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teams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increased speed to market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improve operational efficiency across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new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real-time data insights for healthcare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projects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reducing overhead costs associated with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audits and performance assessments, suggesting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performance improvements, leading to a 30% reduction in processing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that achieved a significant increase in project completion percentages, completing 95% of projects on schedule.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Hadoop, Spark, Pandas, NumPy, Tableau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Confluence, Power BI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