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leader with over 9 years of experience in software engineering and technical leadership within the healthcare technology sector. Proven track record of scaling cloud-native architectures and distributed systems leveraging AWS and GCP. Expertise in driving engineering best practices, fostering high-performing teams, and delivering robust, HIPAA-compliant solutions. Adept in collaborating across product, services, and compliance teams to enhance data interoperability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multi-functional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 to deliver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distributed system processing large volumes of healthcare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evangelized a technology vision that embraced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incorporating security into the development lifecycle and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develop secure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interoperable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data exchange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observability practices, enhancing system performance and reducing outages.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uptime and reliability for mission-critical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clients to understand their performance requirements, adapting project goals to meet evolving healthcare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ingestion workflows and enhancing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excellence by developing training sessions that improved the technical skills of team members, resulting in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recruitment efforts that successfully grew the engineering team by 30%, attracting top talent with a focus on diversity and inclusion.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code quality by implementing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 counts.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development of distributed backend services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allowing teams to independently deploy services and streamline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successfully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resource utilization and reduced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practices, improving application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complex data relationships, resulting in significant improvements in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engineers, fostering growth and technical development throughout the team, and enhancing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developer-friendly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integrations with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enhance test automation efforts, implementing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reliability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that led to the adoption of new technologies, increasing the team's ability to innovate and solve problems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programs for engineers at Skillsoft focused on cloud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documentation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knowledge sharing within technical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design of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development sprints, ensuring adherence to coding standards and best practices across all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solutions, resulting in improved system performance and reduced maintenance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secure coding, ensuring that all applications met industry security standards and compliance regulations. Initiatives led to a 30% reduction in security vulnerabilities during audits.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Flask, React, Django,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Kafka, Elasticsearch,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