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UI/UX Developer with over 9 years of experience in designing, developing, and implementing responsive web applications. Proven expertise in Lightning Web Components (LWC), Salesforce Experience Cloud, and front-end technologies such as HTML5, CSS3, and JavaScript. Strong focus on creating user-friendly interfaces while ensuring accessibility standards are met (WCAG, Section 508) and optimizing performance in both online and offline scenarios. Highly skilled at collaborating with cross-functional teams to bring innovative ideas to fruition and committed to delivering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and compliant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Lightning Web Components (LWC)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to enhance user interaction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designers to transform wireframes into interactive, responsive web interfaces adhering to design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requirements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integration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UI experiences for both connected and offline users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Pulsar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technology, increasing user engagement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reusable component libraries that enhanced project delivery time and code maintainability within a low-code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ensuring that visuals were effectively embedded in applications to support user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 including story grooming and sprint planning, resulting in improved project clarity and teamwork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for all developed interfaces, securing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508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continuous feedback loops for design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and user satisfaction, driving a user-first approach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of web technologies,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refine user requirements and gather comprehensive feedback, driving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applications with a focus on user experience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engaging UI components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resulting in improved efficiency and faster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library for building reusable UI components which improved application performance and maintained design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user interfaces and back-end connections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refine requirements and enhancement requests, leading to a more fine-tuned product release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seamless user experience across all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and design iteration, reducing the product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cross-team collaborations to resolve integration issues with external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driven by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 and website functionality, leading to increased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designs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layouts across different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create user-centric e-learning modules that aligned with corporate training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testing to identify issues and gather user feedback about potential improvements, ensuring high-quality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sessions, gathering feedback to refine future iterations of e-learning materials, and saw a 25% increase in learner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Java, Apex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Lightning Web Components, Salesforce Experience Cloud, Tableau, MuleSoft, Adobe XD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UX/UI Design, Accessibility Standards, Wireframing, Prototype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Git, Agile Methodologies, JIRA,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Bootstrap, Tailwind CSS,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