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and leading backend applications, specializing in predictive sports analytics, microservices, and data processing with a strong focus on technical excellence and automation. Proven ability to solve complex challenges with a creative approach, and adept at collaborating with cross-functional teams to deliver robust software solutions. Proficient in high-traffic APIs, data stream processing with Kafka, and microservices architecture. Strong advocate for coding best practices and observability techniques, driven to enhance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and API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data stream processing solutions to enhance the performance of predictive analytics features and improve real-time data handling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constructive feedback, fostering a culture of continuous improvement in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structures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query performance and reduced latency for client-facing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integrating testing frameworks to ensure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stacks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monitoring capabilities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creating and refining architectural diagrams for both new and existing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leading efforts to improve cloud cost optimization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API specifications, ensuring seamless integration with various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SDKs and CLIs for internal tools, improving team efficiency and accessibility to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remote data sources, ensuring low latency access across geographically distributed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high-level discussions with stakeholders, translating technical requirements into functional specifications.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focusing on backend services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applications, enhancing overall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highly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thousands of concurrent users and saw a significant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APIs for enhanced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easier deployment workflows and seamless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reducing response times and increasing throughput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 microservices architecture, enabling the team to scale features independently while improving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designing and implementing observability tools to monitor production systems' health and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CLI tools for internal applications to streamline workflows and enhance productivity,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backend development and data processing, emphasizing the importance of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by integrating automated testing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architecture for higher throughput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library for data processing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for analytics and transformation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optimization of applications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cost-effective and scalable cloud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improving application responsiveness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as part of the application development lifecycle, ensuring adherence to standards such as OWASP.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large-scale CI/CD platform, contributing to seamless deployments and rollback strategies, leading to a 30% reduction in deployment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NodeJS, Python,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ExpressJS, FastAPI, Flask, Spring,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MariaDB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Stream Processing, Apache Flink,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