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building and scaling enterprise-grade, cloud-native systems for the biopharma and life sciences sectors. Proficient in architecting and deploying AI-enabled software, developing end-to-end solutions leveraging advanced analytics, and ensuring security and compliance across the software lifecycle. Highly skilled in managing large datasets and employing tools like AWS, FastAPI, and generative AI frameworks to meet business needs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AI-enabled software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serverless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features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secure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ensuring best practices in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with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ETL processes to support analytics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implementing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tests to ensure software quality, employing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rapid environment provisioning for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 planning, retrospectives, and standups to ensure successful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migrating them to modern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focusing 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process controls for secure software development aligned with </w:t>
      </w:r>
      <w:r w:rsidRPr="00432203">
        <w:rPr>
          <w:rFonts w:asciiTheme="minorHAnsi" w:hAnsiTheme="minorHAnsi" w:cstheme="majorHAnsi"/>
          <w:b/>
          <w:bCs/>
          <w:lang w:val="en-US"/>
        </w:rPr>
        <w:t xml:space="preserve">SOC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various external systems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on integrating </w:t>
      </w:r>
      <w:r w:rsidRPr="00432203">
        <w:rPr>
          <w:rFonts w:asciiTheme="minorHAnsi" w:eastAsia="Times New Roman" w:hAnsiTheme="minorHAnsi" w:cs="Times New Roman"/>
          <w:b/>
          <w:bCs/>
          <w:lang w:val="en-US"/>
        </w:rPr>
        <w:t xml:space="preserve">LLMs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LangChain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through intelligent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pipeline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procedures, reducing time-to-market.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interfaces to improve engagement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databases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Neo4J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queries and improve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storage solutions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data archiving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operational efficiency by developing infrastructure monitoring solutions using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meetings to align on engineering best practices and foster an inclusive learning environment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focusing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tools to streamline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interfaced with third-party services to provide seamless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that leveraged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comprehensive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code quality via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code reviews to drive the adoption of best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microservices architecture to improve system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and executed data migrations from legacy systems to modern databases such as </w:t>
      </w:r>
      <w:r w:rsidRPr="00432203">
        <w:rPr>
          <w:rFonts w:asciiTheme="minorHAnsi" w:eastAsia="Times New Roman" w:hAnsiTheme="minorHAnsi" w:cs="Times New Roman"/>
          <w:b/>
          <w:bCs/>
          <w:lang w:val="en-US"/>
        </w:rPr>
        <w:t xml:space="preserve">AWS 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application testing and validation.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React, LangChain, Docker,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EKS, ECS,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Neo4J, AWS Neptune, Pinecone, Chroma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GitOps, CI/CD, Serverless,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