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experience in backend development, payment systems, and full-stack architecture. Proven expertise in leading engineering teams, architecting scalable payment infrastructure, and integrating SaaS financial solutions. Adept at navigating complex systems while ensuring technical excellence and compliance. A strong communicator skilled at collaborating with cross-functional teams to meet business objectives. Passionate about building robust systems that support innovative, human-centered care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payment infrastructure development at TechWize,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to enhance money transfer processes for global customers.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a secure payments systems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payment processing in a microservices architecture,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and Finance to define and execute payment system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uptime for payment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backend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and retrieval, optimizing transaction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front-end integrations of financial tools, enhancing user experience and interface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optimization, resulting in reduced latency for payment transactions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CI/CD pipelines for seamless deployment and integration processes,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secure coding and architecture design, fostering a culture of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continuous integration and delivery to support speedy release cycles, adapting quickly to new business needs.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Asana, focusing on scalability and maintainability of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Airwallex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payment functionalities into existing platforms, enhancing transaction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web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cross-device compatibility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define solutions for complex payment challenges.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system robustness and reducing errors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transaction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to manage project timelines and deliverables effectively,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 to maintain high code quality and adhere to best practices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deployment processes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logging and monitoring frameworks, enabling proactive issue resolution and system performance tracking.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alignment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payment systems within educational applications, leveraging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PayPal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transactions.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front-end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dynamic user interfaces that improved learner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UX/UI teams to enhance design functionalities, ensuring high usability standards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APIs for application functionalities and data management, streaming data efficiently between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testing procedures to identify bugs in earlier iterations of applications, improving overall user feedback. Completed rigorous testing on new features, leading to a 30% reduction in post-launch issues.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React, .NET Core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Payment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Stripe, Airwallex, Plaid, Modern Treasury, Payment Gateways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SQL 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Google Cloud,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New Relic, Sentry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