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backend system architecture and development. Expert in Java, Spring Boot, and cloud infrastructure, with a strong focus on building scalable, secure, and high-performance applications. Proven ability in leading multi-service architectural designs and contributing to cross-functional teams to deliver robust solutions. Passionate about integrating advanced technologies such as AI and blockchain into backend systems to promote innovations in the financial technology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modular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API/BFF patterns and versioning contracts.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high-performance REST/gRPC APIs, achieving backward compatibility while supporting product expansion and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models in relational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(e.g.,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effectively implementing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resilient data processing with mechanisms for retries and backpressure.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containerized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environments and facilitate CI/CD pipelines for rapid deployment and rollback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observability, enhancing performance monitoring and error tracking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SLOs and error budgets, leading capacity planning and readiness assessments for upcoming features and architectural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security measures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OAuth2/OIDC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service-to-service authentication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mTLS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implementing least privilege access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engineering teams in establishing best practices during design and code reviews, fostering a culture of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(Product, Web/Mobile, Data) to align SLIs/SLOs, ensuring cohesive project execution and milestone achievements.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service development and architecture, enhancing team skillset and adaptability.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backend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reliability and optimal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service architecture by implementing efficient API designs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REST, ensuring clear contracts and seamless integration 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 initiatives within a collaborative Agile environment, focusing on enhancing delivery cycles through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backend services, integrating unit and load testing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Efficiently reduced response times by optimizing queries against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17+, JavaScript, Python, SQL,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Hibernate, React,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lang w:val="en-US"/>
        </w:rPr>
        <w:t xml:space="preserve">: MySQL, PostgreSQL, DynamoDB, Redis,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lang w:val="en-US"/>
        </w:rPr>
        <w:t xml:space="preserve">: JUnit, Testcontainers, OpenTelemetry,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