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developing and enhancing robust cloud-based applications. Proven track record in leveraging modern technologies including Ruby and Java in AWS environments to deliver high-quality, scalable software solutions. Strong advocate for best practices in software development, with extensive experience in unit testing, code reviews, and Agile development methodologies. Adept at collaborating effectively with cross-functional teams to drive successful project outcomes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point-of-sale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Lightspeed's Hospitality product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architectures within the AWS ecosystem, significantly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define and develop solutions, leveraging Agile methodologies for better project management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pair programming sessions, fostering a culture of collaboration and knowledge-sharing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maintainability of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processes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production environments and performance metrics to drive system optimizations and facilitate root cause analysis during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SRE teams to clearly define requirements, providing pragmatic and reliable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real-time messaging system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environment setup and easier application rollouts across multiple cloud instances.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API design, improving integration capabilities with third-party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leadership, mentoring junior developers to help them grow in their professional journey.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release new features every sprint, focusing on user feedback and iterative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scalability and performance of applications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allowing third-party integrations and further modularizing the application's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test coverage and reducing regressions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decreasing response time for high-traffic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for robust and maintainable code architecture, improving long-term codebase health and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and delivered feedback, keeping code quality standards and team morale high.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through documentation and internal training sessions, providing a bridge between development and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and release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that integrated smoothly with other applications, leading to improved product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 including sprint planning, retrospectives, and daily standups, promoting transparency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functionality before production deployments, increasing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user requirements into robust software features,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production incidents, leading troubleshooting and resolution efforts effectively. In the last quarter, resolved 95% of issues within SLA.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Ruby, SQL,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Redis, Firestore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Spring Boot, Express.js,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Pub/Sub, WebSockets,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