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over 9 years of experience in developing complex, high-performance financial systems. Proven expertise in architecting solutions that drive transaction processing, fraud detection, and compliance systems across distributed architectures. A strong leader with a commitment to mentoring engineers and establishing best practices. Highly skilled in deploying on Google Cloud Platform and implementing microservices with Python 3, Django, and Flask.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payment processing systems capable of handling millions of dollars in transactions daily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fraud detection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robust patterns for real-time anomaly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compliance teams to define business requirements, ensuring alignment with regulatory policies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coding standards, specifically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introducing design patterns relevant to financial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performance by refactoring legacy systems into a microservices architecture, enhancing reliability across the 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that established a foundational influence on the evolving tech stack, including the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incident response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around future scalable solutions, promoting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REST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strategies utilizing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based on use-case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established agile workflows to maintain high code quality across distributed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backend services for the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integrations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reviews that shaped the future roadmap of product features in compliance with regulatory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scalable solutions for high transaction volume processing, boosting overall system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state management across applications to achieve sub-second response times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isolating services for independent scaling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deployment processes and complexity in maintaining multi-cloud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 focused on new technologies being integrated into the environment,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for developing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testing of APIs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design of an internal dashboard for tracking key metrics and analytics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payment processing and compliance, demonstrating active participation in the developer community.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 APIs interfaces for various applications, facilitating communication across systems and enhancing overall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migration strategies from monolithic systems to distributed architectures, improving system robustness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security reviews and implemented safeguards against vulnerabilities in line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top ten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implemented comprehensive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observability and debugging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analysts to translate functional requirements into technical specifications, maintaining a consistent feedback loop.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protocols, ensuring compliance with data protection regulations during the handling of sensitive financial transactions. Successfully transitioned infrastructure to comply with updated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 DSS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yielding a more secure payment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FastAPI, Celery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Domain-Driven Design, CQRS, Event Sourcing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