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full-stack development, focusing on payment workflows in healthcare tech. Expertise in React, Typescript, and Python/Django, driving system architecture and product development. Committed to improving user experiences and mentoring teams with a strong belief in healthcare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at TechWize to enhance patient payment experiences,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Python/Django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checkout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functionalities, optimizing payment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transaction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excellence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data teams to articulate technical designs and enhance the overall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practices and performance optimization strategies, fostering a high-standard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logic, ensuring a seamless and responsive application layer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and logging tools for error tracking and performance metrics to aid in proactive troubleshooting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improving team collaboration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the initiative for technical debt management by refactoring legacy code,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enhancing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streamlining the deployment pipeline and reducing the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evolving requirements in a fast-paced environment, demonstrating a strong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entrepreneurial mindset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significant improvements to user payment management features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autopay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setup and card saving functionalities, making them easier and more intuitive.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features at Asana with an emphasis on responsive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payment solutions, increasing transaction success rates and reducing customer inquiries.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backend team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performance, improving data retrieval times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parameters in CI pipeline,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applications ensuring minimal bugs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recommended enhancements based on industry best practices to improve team output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services,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deploy and manage applications, enhancing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redesign components of the system, focusing 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technical documentation, ensuring clarity and knowledge sharing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acceptance testing, contributing to a smoother product rollout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communication with stakeholders to align development goals with product vision and user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efforts at Skillsoft in developing educational content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improving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of applications, identifying bottlenecks and implementing necessary adjustments in code.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prototyping new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online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assistance to quality assurance teams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manual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identifying product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iterative feedback cycles with product managers to refine application features, resulting in 20% increased user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Django, Node.js,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pytest,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Payment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Stripe, Braintree, PayPal, HBA/HSA support, Third-party financing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AWS, CI/CD,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