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Integration Analyst with over 9 years of experience in healthcare data integration and EHR interoperability. Proficient in analyzing, mapping, and validating healthcare data, ensuring compliance with standards such as HL7 and FHIR. Expertise in collaborative EHR integrations and data pipeline creation, leveraging technologies like Python, Java, HL7, and SQL. A strong advocate for data quality and integrity with proven success in enhancing automation in integration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supported EHR/EMR integrations using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Cerner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Flatiron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optimizing clinical data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healthcare organizations and internal stakeholders to troubleshoot integration issues, ensuring smooth onboarding for new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analysis, mapping, and validation of healthcare data across various platforms, maintaining compliance with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integration workflows by implementing automation solutions which reduced implementation timelines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processes and best practices, creating comprehensive guides for future reference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Mirth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interface engine management, successfully improving data flow efficiency between disparate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quality assurance processes that identified and resolved issues with missing and inconsistent clinical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engineering teams to improve automation and reduce manual interventions through optimized integration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interface performance using advanced logging tools to enhance reliability and troubleshoot real-time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technical teams on </w:t>
      </w:r>
      <w:r w:rsidRPr="00432203">
        <w:rPr>
          <w:rFonts w:asciiTheme="minorHAnsi" w:hAnsiTheme="minorHAnsi" w:cstheme="majorHAnsi"/>
          <w:b/>
          <w:bCs/>
          <w:lang w:val="en-US"/>
        </w:rPr>
        <w:t xml:space="preserve">FTPS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API-based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for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API interactions and 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transformation and validation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goal setting for the data integration roadmap, aligning project outcomes with Tempus' strategic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improving interoperability workflows between </w:t>
      </w:r>
      <w:r w:rsidRPr="00432203">
        <w:rPr>
          <w:rFonts w:asciiTheme="minorHAnsi" w:eastAsia="Times New Roman" w:hAnsiTheme="minorHAnsi" w:cs="Times New Roman"/>
          <w:b/>
          <w:bCs/>
          <w:lang w:val="en-US"/>
        </w:rPr>
        <w:t xml:space="preserve">Epic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electronic health systems, leveraging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to ensure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clinical data transformation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ETL tools, achieving higher accuracy in reporting clinical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engineering teams to develop and maintain complex integration interfaces using </w:t>
      </w:r>
      <w:r w:rsidRPr="00432203">
        <w:rPr>
          <w:rFonts w:asciiTheme="minorHAnsi" w:eastAsia="Times New Roman" w:hAnsiTheme="minorHAnsi" w:cs="Times New Roman"/>
          <w:b/>
          <w:bCs/>
          <w:lang w:val="en-US"/>
        </w:rPr>
        <w:t xml:space="preserve">Rhapsody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hundreds of data transactions daily.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interface performance testing and protocol compliance evaluations, ensuring adherence to </w:t>
      </w:r>
      <w:r w:rsidRPr="00432203">
        <w:rPr>
          <w:rFonts w:asciiTheme="minorHAnsi" w:eastAsia="Times New Roman" w:hAnsiTheme="minorHAnsi" w:cs="Times New Roman"/>
          <w:b/>
          <w:bCs/>
          <w:lang w:val="en-US"/>
        </w:rPr>
        <w:t xml:space="preserve">FHIR R4</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onboarding processes for new clients, leading initiatives that fostered strong communication and technical support, increasing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build patient-centric data accessibility features, ensuring real-time data retrieval from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cloud-based integration strategies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data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data security protocols for </w:t>
      </w:r>
      <w:r w:rsidRPr="00432203">
        <w:rPr>
          <w:rFonts w:asciiTheme="minorHAnsi" w:eastAsia="Times New Roman" w:hAnsiTheme="minorHAnsi" w:cs="Times New Roman"/>
          <w:b/>
          <w:bCs/>
          <w:lang w:val="en-US"/>
        </w:rPr>
        <w:t xml:space="preserve">PHI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comprehensive testing strategies to mitigate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integration documentation frameworks across projects, influencing best practices throughout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track integration metrics and interface performance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integration monitoring tool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errors and pushing notifications related to EHR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major transitions to </w:t>
      </w:r>
      <w:r w:rsidRPr="00432203">
        <w:rPr>
          <w:rFonts w:asciiTheme="minorHAnsi" w:eastAsia="Times New Roman" w:hAnsiTheme="minorHAnsi" w:cs="Times New Roman"/>
          <w:b/>
          <w:bCs/>
          <w:lang w:val="en-US"/>
        </w:rPr>
        <w:t xml:space="preserve">Cerner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adaptation of existing workflows to new clinical standards and delivery modes.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numerous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parsing projects to ensure accurate communication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handling procedures to improve efficiency and decrease operational costs, using </w:t>
      </w:r>
      <w:r w:rsidRPr="00432203">
        <w:rPr>
          <w:rFonts w:asciiTheme="minorHAnsi" w:eastAsia="Times New Roman" w:hAnsiTheme="minorHAnsi" w:cs="Times New Roman"/>
          <w:b/>
          <w:bCs/>
          <w:lang w:val="en-US"/>
        </w:rPr>
        <w:t xml:space="preserve">NestJS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machine learning-ready </w:t>
      </w:r>
      <w:r w:rsidRPr="00432203">
        <w:rPr>
          <w:rFonts w:asciiTheme="minorHAnsi" w:eastAsia="Times New Roman" w:hAnsiTheme="minorHAnsi" w:cs="Times New Roman"/>
          <w:b/>
          <w:bCs/>
          <w:lang w:val="en-US"/>
        </w:rPr>
        <w:t xml:space="preserve">data 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analytical workflows in compliance with regulatory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design sessions to optimize data architecture methodologies, resulting in improved performance rates in data processing.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JSON, XML, CSV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v2, FHIR, REST, SOAP, FHIR R4</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EHR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Epic, Cerner, Flatiron, Care Everywhere, Epic Bridges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 &amp; Engines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Corepoint, Mirth, Cloverleaf, Rhapsody,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Data Lakes,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