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professional experience in developing robust applications primarily focusing on backend infrastructure. Expertise in building Python applications and GraphQL APIs while ensuring high performance and security for enterprise-grade SaaS platforms. Proven ability to integrate frontend technologies like React and TypeScript, enhance CI/CD pipelines in AWS, and contribute to architectural design. A strong collaborator with a commitment to mentorship and promoting a culture of continuous learning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API interactions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NodeZero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frontend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workflows for user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define technical requirements and influence product roadmap based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that improved system design and application performance, resulting in enhanced scalability for our enterprise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and code quality, fostering a culture of technical excellence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CI/CD reliability and application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infrastructure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executed testing strategies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reliability of features delivered.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management, enhancing data access speeds and performance metrics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incorporate AI-assisted development tools, streamlining workflows and elevating productivity for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performance issues within production infrastructure, specifically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uphold company standards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security vulnerabilities, aligning with cybersecurity best practices and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Nessus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 and processes, collaborating with engineering teams to enhance onboarding for new hires.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various internal applications for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 interfaces, focusing on responsive design and optimizing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SQL for integrating and accessing complex data sets, improving application efficiency and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cross-disciplinary team workshops to promote best practices in Agile development, resulting in decreased cycle times for feature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times and reducing incidents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elevate code quality, directly resulting in a measurable increase in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backend capabilities and streamlining API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refactored legacy codebases, reducing downtime and improving overall application performance metrics across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security teams to perform vulnerability assessments,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Kali 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Metasploit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potential attacks.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by implementing user management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interfacing with multiple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front-end components, enhancing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data retrieval speeds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maintained continuous communication with project stakeholders, enhancing project transparency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adhered to industry-standard practices for system architecture design, ensuring long-term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through cloud providers, focusing on best practices in cloud architecture and infrastructure as code, achieving a high degree of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Flexbox, PostgreSQL,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GitLab CI/CD, Vite, WebSockets,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NodeZero, SIEM, Nessus, Burp Suite, Kali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