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9+ years of professional experience in crafting and optimizing cutting-edge web applications using React, TypeScript, and a diverse tech stack. A strong believer in software engineering best practices with proven leadership, mentoring capabilities, and an ability to drive cross-functional collaboration. Committed to building fast, scalable products while focusing on creating a seamless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large-scale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efficient state management and component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UI components that are reusable and optimized for performance, adhering to best practices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frontend technologies, design patterns, and coding standards,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backend developers to define API contracts and ensure smooth integration of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worked on improving code quality through consistent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profiling.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through code splitting and asset management, reducing load times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prototypes and wireframes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design process and aligning team members on the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web development within the team, resulting in a cohesive and efficient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DevOps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seamless deployments across various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knowledge-sharing sessions on the latest technologies and trends in frontend development to keep the team updated.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significant reduction in page load times through continuous performance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by implementing advanced state management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deliver projects that consistently met deadline and quality standards while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best practices in coding and architecture, leading to improved maintainability and scalability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fostering a culture of quality and teamwork, and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type-safety and better tooling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practices and collaborated with design teams to ensure a user-friendly and aesthetically pleasing interface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development cycles and efficient debugging 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web applications for performance,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opportunities for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and stakeholders to gather requirements, resulting in the efficient delivery of high-quality software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significantly increasing code coverage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through adherence to industry standards and integration of peer-reviews.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Converted existing web applications into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user experience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Agile/Scrum processes, contributing to sprint planning and retrospectives, while collaborating across multiple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components that are modular and easily integrable across various projects, enhancing development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accessibility features to ensure compliance with W3C standards, leading to broader user adoption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monitoring tools to analyze and address application performance-related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documentation and onboarding new team members, helping ensure smooth transitions and knowledge transfer.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increased application engagement by 40% after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the user interface.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 Router, Next.js,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AWS,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Performance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Figma, Responsive Design, Performance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