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application support, development, and infrastructure services within financial technology. Proven expertise in developing high-volume, low-latency distributed systems utilizing Java, Spring Boot, and Microservices architecture. Skilled in managing multi-disciplinary teams and engaging with stakeholders to drive product success and strategic initiatives while ensuring best practices in coding, testing, and delivery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an enterprise-wide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application developers and engineers, fostering an environment of innovation and excellence in service delivery, leading to enhanced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high-volume, low-latency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adherence to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application support teams, facilitating the resolution of complex technical issues while maintaining communication with executive leadership and business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Architectural and Product leads to define and implement a 3-year strategic roadmap, prioritizing initiatives to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development initiatives adopting Continuous Integration and Continuous Delivery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robust software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distributed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handling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mentorship and professional development opportunities for junior developers, leading to a 30% improvement in skill advancement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metrics, recommending and executing enhancements leading to a 25% reduction in latency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user feedback into product development, enhancing overall user experience and satisfaction through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application solutions that met stringent financial services regulatory guidelines.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distributed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suite,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support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ceremonies and delivered impactful coaching for team members, resulting in improved workflow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created accessible API endpoints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enhance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and health checks for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monitoring tools,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to validate application enhancements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quality assurance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coding practices, specifically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improving team coding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collaboration across development teams and reducing merge conflicts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and training materials regarding applications created, facilitating knowledge transfer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specifications, ensuring alignment between stakeholders and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several successful application lifecycle management initiatives, enhancing security frameworks and data protection protocols within the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enterprise Mobility platform by developing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stability and mobile API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solutions into applications to accelerate data retrieval, optimizing load times for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refactoring and optimization of legacy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 aligning with newer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(IaC) in provisioning and managing cloud resources, enhancing deployment speed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solving complex problems as part of the technical support team, improving customer satisfaction metrics by implementing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Assumed responsibility for data migration projects involving transitioning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data fidelity throughout the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Oracle DB, MySQL,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K8s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