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9 years of experience in designing and developing high-impact B2B applications. Proficient in Java (Spring Boot), React, and various AWS services, with a solid understanding of multithreading, performance tuning and full-stack development. Proven track record collaborating with cross-functional teams to deliver clean, testable code, while enhancing user experiences. Passionate about clean code, automated testing, and CI/CD processes to drive excellence in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features for our B2B product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performance through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analysis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multithreading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implementation, ensuring optimal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accessibility and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collaboration efficiency with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software quality standards and reduce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scope and refine features, ensuring alignment with user requirements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deployment, facilitating easier management of application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efforts with DevOps to enhance cloud infrastructure, optimizing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cutting-edge techniques by implementing SPA routing for improved user navigation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i18n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internationalization.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retrospectives, continually refining operational processes to enhance software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effective state management and modern JavaScript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multi-disciplinary team, promoting high standards of software quality throughout the entire SDLC.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cloud-based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data storage and serverless functions, improving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performance, utilizing tools and metrics to identify bottlenecks and recommend solutions for enhanced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 practices,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data integrity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retrieval speeds and overall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procedures, ensuring reliability through automated tests and regression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 and enhancement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RESTful APIs to facilitate seamless interaction between the front-end and back-end components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production deployments, continuously assessing for improvements in operational resilience and system uptime.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robust backend solutions for a global client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intuitive user experience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skill in both relational database architecture and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applications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delivery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extensively on cross-functional teams to define and refine application requirements and user stories.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development skills and aligning with community-driven advancements in technology.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CSS,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Tailwind, JUnit,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Databricks,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