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in developing user-facing web applications specializing in React, Python, and PostgreSQL. Proven expertise in architecting solutions that enhance user experience and business efficiency. Passionate about leveraging technology to improve mental health care access, collaborating extensively with cross-functional teams to deliver high-quality, scalable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user-facing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client engagement through streamlined interfaces and responsive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backend services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 amidst increasing user demand.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unit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seamless and responsive user interfaces, utilizing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and reducing response times by restructuring queries and leveraging indexes.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AWS migration projects, leveraging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highly available and scalable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promoting a culture of learning and continuous improvement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define project scope and deliver software solutions that meet user requirements, directly contributing to five successful product launches.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development workflows through the utilization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leading to faster deployment cycles and reduced discrepancies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performance bottlenecks in web applications and implemented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speeds by over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retrospectives, and daily stand-ups to foster teamwork and ensure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on-call rotation, ensuring high availability and responsiveness to production issues, with a focus on client care access.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through practices like pair programming and TDD.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functionality, enhancing user experience and feature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to improve application performance and maintainability, decreasing load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front-end libraries for future use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quicker feature implementation and consistency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and enhancing release management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deliver scalable software solutions that align with business goals, leading to a 30% increase in user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enhancing the development team’s understanding of service integrations and improving communication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asset optimizations, ensuring application performance aligned with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backend services, which resulted in a 40% improvement in overall system performance over a six-month period.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within the team to discuss architecture patterns and development strategies, fostering a culture of shared learning.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redesign and implementation of internal tools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both development speed and usability for internal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application-level security enhancements, adhering to OWASP guidelines and reducing security vulnerabilities by conducting regular security audits.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to support front-end applications, ensuring compliance with established data management policies.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to validate new features and functionality, leading to effective feedback loops with product and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migration to modern architectures, enhancing system responsiveness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detailed documentation of software architecture and API specifications, facilitating on-boarding and reducing the ramp-up time for new hires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Redux,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Postman,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