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9 years of experience in building robust web applications and AI-driven platforms. Strong expertise in modern JavaScript frameworks including React with TypeScript, back-end development using Golang, and RESTful services. Proven track record in designing and architecting software solutions that improve operational efficiency and user engagement. Notable experience in collaborative environments with cross-functional teams to deliver high-quality,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features for Pryon’s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hooks and state management solutions to improve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building robust REST APIs to ensure seamless integration with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architectures and frameworks to enhance the capability of AI workflows within conversational UIs, significantly increasing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troubleshooting across platforms, utilizing logging and monitoring tools to optimize performance metrics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peer code reviews, ensuring adherence to coding standards and quality practices while mentoring junior developers on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user requirements into technical specifications, enhancing user engagement through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design discussions to synthesize UI libraries and component frameworks, promoting best practices in design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Recommended improvements in technical design methodologies and standards, leading initiatives to enhance overall system architecture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reliable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evolution of micro-service architectures, enhancing scalability and reliability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technical proposals for internal stakeholders, ensuring alignment on project scopes and technical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robust state management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 and predictably.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 for large-scale applications, integrating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product and design teams to enhance user interaction designs, employing frontend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styling.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testing strategies, which improved the development workflow and software reliability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the architectural discussions, introducing solutions that embraced microservices ideology, thus enhancing software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the company's design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improving team collaboration and productivity through effective sprint planning and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and improved existing codebases, refactoring applications to incorporate modern JavaScript capabilities and design patterns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testing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and performance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web technologies, ensuring user-friendly interfaces and effective learning pathways.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applications with CSS preprocessors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design methodologies ensuring compatibility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diverse programming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established best practices for code maintainability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mentorship and guidance to junior developers, fostering a collaborative environment that promotes learning and growth in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evaluations and implemented optimization strategies to address identified bottlenecks in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consistency in project delivery schedules through diligent use of version control systems, leading to a 20% increase in deployment frequency.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Golang,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styled-components, SASS,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REST, Microservices,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CI/CD,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