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building scalable, resilient advertising ecosystems in fast-paced environments. Proven expertise in designing and implementing cloud-based applications, A/B testing, and campaign management systems. Skilled in various modern programming languages and frameworks, with solid experience in ad services and high-performance backend systems. Seeking to leverage advanced skills in a challenging role at Netflix to contribute to innovative advertising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serving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campaign delivery speed by optimizing code and refactoring existing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cloud-based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campaign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for ad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ad transactions and improve reporting accuracy across various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set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direction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APIs for ad targeting and audience management, enhancing inventory turnover and campaign tracking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experimentation to assess user experience and ad performance improvements,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Optimize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between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utilities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campaign analytics and reporting, integrating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Data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established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inventory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forecasting and financial reporting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Ads Finance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demonstrating expertise in both technical and operational aspects.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the fundamentals of ad technology, maintaining high standards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ensure code quality, reliability, and robustness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the definition and implementation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Ads Identity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solution, ensuring compliance with international privacy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advertisement solutions serving millions of viewers across varying networks.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 analytics dashboards, facilitating ad performance metrics visualization in real-time for advertisers.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ad operations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campaign setup process, putting emphasis on deliverability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resilience and data integrity for ad-serving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ad placements by predicting viewer behavior patterns, resulting in higher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that facilitated retrieval and storage of ad creatives, improving overall deployment and integration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cross-disciplinary teams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end-to-end functionality of advertisement technology stacks.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reliability and decreasing manual testing efforts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 identity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subscriber data privacy and compliance with regional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Ads Dynamics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creating integration capabilities with external demand partners, enriching the advertising mix.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coding hygiene checks and architectural reviews for a suite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at the onset of campaign builds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 to develop insights into campaign performance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targeting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bug tracking and issue resolution workflows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 creatives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scripts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hackathons to propose and prototype innovative solutions for ad targeting and audience engagement strategies, demonstrating creativity in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across teams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year-on-year ad delivery increase of 25% through meticulous campaign management and architectural optimizations.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