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designing, developing, and maintaining scalable microservices and APIs within risk management platforms. Proven track record of collaborating effectively with cross-functional teams and mentoring junior engineers. Adept at employing a variety of cloud platforms and programming languages to solve complex challenges. Excels in fast-paced environments and committed to delivering high-quality, secure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secure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Risk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risk management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features and lead projects that improved compliance processes via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strategies, including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 and scaling of applications, thus optimizing costs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 and collaborated on peer code reviews to foster a culture of growth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technical challenges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Risk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redesign of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integrity and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alerting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operational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tracking, enhancing team productivity and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overall architecture of the Risk Platform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service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several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financial applications while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languages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quality REST APIs for product feature launches, improving overall system performance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and robustness of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initiatives, introducing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deployments, enhancing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gather requirements resulting in successful delivery of multiple key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knowledge sharing sessions to promote best practices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task tracking, leading the transition to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discussions, bringing insights on scaling microservices and improving system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modules and simulated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tenure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database management &amp; SQL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logging student performances and analytics in training programs.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 series of interactive training modules focusing on risk awareness for financial institutions using various development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internal teams to gather requirements and translate business needs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to refine interactive digital learning experiences, optimizing the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streamlined course delivery mechanisms, resulting in a 20%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Kotlin,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Azure, Databricks,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Microservices &amp; APIs</w:t>
      </w:r>
      <w:r>
        <w:rPr>
          <w:rFonts w:asciiTheme="minorHAnsi" w:hAnsiTheme="minorHAnsi" w:cstheme="majorHAnsi"/>
          <w:lang w:val="en-US"/>
        </w:rPr>
        <w:t xml:space="preserve">: Microservices Architecture, RESTful APIs, GraphQL, gRPC, Spring Boot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DynamoDB,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Terraform, Jenkins,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