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DevOps practices and game client development. Proficient in managing CI/CD pipelines and integrating multiple technologies to streamline development workflows. Strong expertise in C++ and various game engines, particularly Unreal, with a solid foundation in problem-solving and technical communication skills. Committed to supporting teams in delivering high-quality gaming experiences while optimizing build processes and ensuring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Cold Iron’s existing CI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performance by optimizing patching and entitlements in the game client.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game projects, ensuring smooth user experiences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that improved the agility of the development flow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profile code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remedy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teams, including QA, to ensure high-quality game builds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documentation for build and release processes, enabling knowledge transfer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client-side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streaming and patch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optimize development workflows through the application of DevOps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and consistency across build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to increase testing coverage and reliability of game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strong communication across departments to facilitate project collaboration and troubleshooting.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establishment of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fast-paced startup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maintained build tools that supported a complex suite of projects, focusing heavily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QA teams to establish best practices for automated testing, leading to a decrease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game engine adaptations and fixes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functionality of game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and improve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review processes among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asset management, improving deployment times and asset retrieval efficiency during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to enhance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DevOps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monitoring tools to ensure system reliability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responsive client-side content pipeline, enabling quick updates and reducing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game development projects focusing on client tools and deployment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CI pipelines, reducing build times by implementing caching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applications for resource management, leading to enhanced tracking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of third-party tools to enhance the development environment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practices for code quality and maintainability with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software engineering domains, gaining versatility in services, systems, and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and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TeamCity,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Unreal Engine, GameSDK, Patch File Management, Asset Streaming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Perforce,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