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backend engineer with over 12 years of experience in architecting scalable, high-performing systems and driving technical strategy. Proven expertise in backend solutions, machine learning integrations, and cross-functional collaboration to elevate user experiences and improve organic bookings. Adept at mentoring technical teams and leading projects that align with both stakeholder goals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 of applications processing millions of requests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design and implement machine learning models,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backend services for personalized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them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testing methodologies, and architectural patterns to maintain a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and NoSQL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 needs,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align team goals with broader company objectives, leading to successful project deliveries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testing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backend functionality and compliance with stakeholder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in backend systems,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best practices in backend engineering and machine learning principles, focusing on real-world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error-tracking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analyze and mitigate issues in live deployments,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services to a new cloud infrastructure, leading to a 30% increase in system availability.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interactions with frontend applications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event-driven architecture, improving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load times and improve product performance, leading to enhanced user experience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initiative to adopt a new analytics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real-time data processing and insights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agile processes, actively participating in sprint planning, retrospectives, and continuous integration practices to align developer outputs with stakeholder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reviews and code refactoring initiatives, improving existing systems through the introduction of best practices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flexible and efficient APIs that streamlined interactions between frontend and backend, optimizing resource use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discovery features by integrating machine learning-driven recommendations,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a high standard of quality and reliability in codebases, fostering a culture of continuous improvement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large-scale eCommerce platform with hundreds of thousands of daily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quality assurance,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stakeholders to gather requirements and deliver bespoke backend solutions that directly improved user experience in niche markets, aligning with evolving business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APIs to enhance feature sets within applications, driving traffic and conversions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DevOps practices by managing application deployments and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30% through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indexing and query optimization techniques, favorably impacting customer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SQL, C++,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Spring Boot, Node.js, Express.js, Flask, React, TensorFlow,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Google Cloud, CI/CD, Apache Kafka,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Apache Spark, Tableau,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