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senior-level engineer with over 9 years of experience in software development, specializing in scalable applications and high-performance backend systems. Proficient in a range of technologies including Java, Spring Boot, and React, with a strong focus on performance optimization and code quality. Proven track record of implementing testing best practices and CI/CD workflows, leading to enhanced product reliability and team efficiency. Passionate about leveraging technology to drive business improvements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RESTful services, which enhanced the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data access layers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interact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ensuring data consistency and integrity across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enforced coding best practices and guidelines that improved code quality and maintainability, leading to a reduction in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decrease in defect rates prior to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containerization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faster deployment cycles and improved automation of build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optimized SQL queries for complex reporting requirements,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applying best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knowledge sharing and continuous learning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design discussions to ensure scalability and performance needs were met,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static code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cross-functional teams to define clear project requirements and deliverables, resulting in on-time project completions.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business requirements and translated them into technical specifications, leading to efficient project execution and application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AWS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applications in a cloud environment, enhancing the system's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performance optimization initiatives across various services, reducing latency by implementing caching mechanisms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features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dynamic capabilities and overall user experience of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best practices for schema design and data management, thereby improving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browser testing, leading to more reliable release cycles and increased deployment confidence.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JSON Web Tokens (JWT) for secure authentication and authorization within applications, ensuring high security standards were maintained.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code reviews to ensure adherence to coding standards and design patterns, sharing knowledge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architectural approaches.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application monitoring and performance diagnostics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proactive maintenance and issue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guide technology choices and improve overall system design, advocating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migration strategies for legacy systems to more modern frameworks,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and scale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teams to translate designs into functional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related technologies, ensuring a robust backend framework for scalability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older systems to more modern technology stacks, focusing on improving overall system performance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various system integrations,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connect disparate systems and provide seamless data flow among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features in the Learning Management System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rich user experience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establishing development guidelines and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project tracking and team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mentored new team members on coding standards and technology stack, establishing a collaborative learning environment. Limited the need for external resources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