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production-ready UI and graphics development, employing rich interactivity and state-driven animation. Proven expertise in leveraging cutting-edge technologies to create scalable applications and enhance user experiences. Adept at collaborating with cross-functional teams to drive innovation and deliver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graphics and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engagement and visual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API development, and focused on improving data fetching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integration of designs into prototypes and final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manual and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for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and production environments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interactive graph representation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adeptness in building cross-platform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cohesive mobile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team culture of innovation and continuous improvement through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delivery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backend architecture and smooth data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functionalities, crafting dynamic applications with live data syncing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workflows to maintain a high code quality standard.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immersive 3D graphics and animations, enhancing the visual quality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turn user stories into technical specifications and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SPA frameworks allowing for rapid prototyping and iteration based on real user feedback,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that reduced memory usage and improved rendering speeds in applications, leveraging effective coding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designs ensuring accessibility across devices using advanced CSS techniques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that shaped product development roadmaps.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transition of legacy applications to a microservices architecture, enhancing modularization and scalability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simple database solutions in prototype applications, achieving quick turnaround times. Compiled comprehensive documentation and facilitated presentations for internal stakeholders, resulting in a 25% reduction in project misunderstandings.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projects with seamless integration among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Dart,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Flutter,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Canvas API, WebGL, Three.js, Figma API,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