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software development, architecture, and implementation. Proven expertise in utilizing a broad range of technologies including Java, Spring Boot, and Angular to deliver scalable, high-quality applications. Adept at employing Agile methodologies and leading cross-functional teams in fast-paced environments to drive system improvements and enhance user satisfaction. Strong grounding in full software development life cycle (SDLC), from concept through delivery, leveraging DevOps practices and tools such as Docker and Kubernetes for efficient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microservices-based applications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 by implementing RESTful web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scalable solutions,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efficient deployment strategies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ensuring high code quality and reliability, resulting in improved system stability and reduced bugs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facilitating sprint planning and retrospectives to align team goals and improve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facilitated knowledge sharing sessions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database solutions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which resulted in a 20% decrease in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actionable feedback, ensuring adherence to coding standards and enhancing overall project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improving application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security by integrating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for secure user authentication, safeguarding user data and application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tuning and optimizations across applications, leveraging profiling tools and methodologies, decreasing load times by 15%.</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full-stack application development primarily focused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including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develop engaging and intuitive applications, employing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REST APIs that improved system interoperability and reduced data processing delays.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rigorous use of caching techniques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effective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automated test coverage by over 40% within the first six months.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meetings, providing insights on cloud migration strategies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smoother deployment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effectively, expanding application capabilities and ensuring up-to-date data inputs.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warehousing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reporting and analytical processes for stakeholders and upper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stakeholder meetings to gather requirements and translated them into technical specifications, enhancing customer engagement and project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weekly code walkthroughs and scrums that promoted transparency and collaborative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e-learning platform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modular architecture that supported scalability and future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tests and helped maintain a robust automation framework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ensuring a seamless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existing applications to cloud infrastructure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cost savings and increased application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owners to gather requirements and deliver functionality on time, implementing features that improved user engagement by 15% during usage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adopting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leading to improved team productivity and project visibility.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adoption of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across teams, enhancing collaborative coding practices and reducing merge conflicts.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Hibernate, Maven, Gradle,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