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specializing in Ruby on Rails, AWS infrastructure, and optimized software architecture. Proven expertise in writing clean, reliable code and implementing CI/CD pipelines to enhance system performance and efficiency. Committed to leveraging data-driven insights to improve customer experiences and effectively troubleshoot complex engineering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multiple complex projects from inception to deployment,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was optimized for growth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Chief Architect to enhance and optimize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(EC2, RDS, ECS)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significantly improving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that reduced deployment times and improved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applications to handle high traffic, ensuring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architectural strategies that align with long-term organizational goals, focusing on data-driven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simplifying code structure and improving maintainability through rigorous code reviews and mentorship.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proactive troubleshooting efforts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and infrastructure issues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areas for improvement that reduced latency and boosted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helped define best practices for application development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queries and optimized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extensive documentation for all implemented features, promoting easier onboarding and knowledge transfer among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cloud solutions, and best practices for writing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team sprints and agile methodologies to ensure quick delivery of high-quality software, fostering a culture of accountability.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innovative application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APIs that support both internal and external use cases,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performance through effective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comprehensive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application reliability and reduced bugs during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overall application functionality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server provisioning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achieving faster deployment cycles and minimizing downtime during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outline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 for scalable development and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fostering an environment of consistency from development through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transition of legacy systems to cloud-based solutions, enhancing accessibility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technical knowledge base by documenting solutions to common engineering challenges.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modern design principles and optimal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focusing on refactoring legacy code bases into more manageable structures, boosting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CI/CD processes using various tools to streamline deployment workflows and enhance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analysis of applications and implemented solutions to reduce load time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during deployment to safeguard application integrity and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managed cloud-based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scaling resources dynamically to meet fluctuating demands, achieving a 30% increase in uptime.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HTML5,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Vue.js, RSpec,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(EC2, RDS, S3, ECS), Google Cloud, CI/CD pipelines,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Linux,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System Design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Distributed Systems, Performance Tuning, Database Systems, Data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