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hands-on experience in building scalable software solutions across various domains. Passionate about quality and security in software development, with deep expertise in static analysis, CI/CD processes, and cloud-based architectures. Proven ability to deliver technical leadership, mentor junior engineers, and drive cross-functional collaboration. Enthusiastic about fostering inclusive team culture and enhancing developer experience through innovative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GitHub's Code Scanning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feature, enhancing security measures against vulnerabilities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APIs for seamless integration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ensuring rapid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solutions, providing clarity on architecture, design considerations, and cost implications.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technical roadmap aligning with product goals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solution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writing maintainable and extensible code, fostering a culture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sharing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on-call rotations and live system incident responses to ensure operational excellence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debugging tools and telemetry,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proactively resolve issues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practices by setting up automated testing frameworks, resulting in significant improvements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architecture briefs and proposals that guided team decisions, emphasizing the importance of security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for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improving application responsiveness and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efforts from monolithic to microservice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interactions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deliver features aligned with customer needs and technical feasibility, enhancing participation in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that informed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resilient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internal developer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 automation, reducing manual intervention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new hires on best engineering practices, fostering a supportive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engagement and visibility in the developer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integration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and improve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diverse teams to implement software updates that improved system functionality, enhancing team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rigorous testing frameworks for new services,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standards of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migrating legacy applications to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completing the project on time and under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frameworks, focusing on increasing user engagement by implementing best UX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Python, JavaScript, Ruby, Java, C++,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Rails, Django, Flask, Spring, Node.js, Express.js,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Kubernetes, Docker, Terraform, OpenShift,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CI/CD, Jenkins, Travis CI, CircleCI, Selenium, Postman, Git,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SQLAlchemy, Oracle,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