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scalable, high-performance backend systems. Proven track record in AI-driven solutions for distribution and order management sectors, utilizing advanced technologies to automate tedious tasks and enhance operational efficiency. Strong collaborative skills in cross-functional teams coupled with a commitment to delivering high-quality code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performance and scalability for AI-driven distribution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existing distribution platforms and automating sales order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code quality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optimize large databases, achieving efficient data retrieval and storage for diverse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architectural feedback to junior engineers, enhancing team productivity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application features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and customer teams to define technical specifications and align engineering efforts with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hires and junior developers on system architecture and best coding practices, fostering a learning environment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documentation and contributed to improving software development processes based on feedback from stakeholders and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customer-facing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contributing to sprint planning and retrospectives,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and smoother development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relational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integrity and performance for a high-traffic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create RESTful APIs for smooth data interchange between the client and server, significantly improving feature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responsiveness, providing users with up-to-date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transition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 for clients in the HR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maintainability and modular design, influencing team culture towards robust engineering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increasing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 support to junior developers through pair programming and technical workshops, sharing insights on performance optimization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caching strategies and database indexing, resulting in faster query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backlog grooming and sprint planning by providing insights on technical requirements and potential challenges, enhancing team coordination and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 through effective course management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perform legacy code refactoring, enhancing performance and maintainability for an e-learning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essential experience with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effectively on shared codebases and managing code contributions from various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including payment gateways and user analytics, ensuring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to define project requirements and confirm satisfactory feature performance with stakeholders, facilitating effective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dashboards for real-time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enhancing data visibility for client decision-making processes. Six month engagement resulted in 40% increase in repeat customers.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