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full-cycle web application development. Proficient in leading development teams and driving projects from conception to deployment in a fast-paced environment. Deep expertise in front-end technologies such as React, TypeScript, and Redux, with a solid understanding of backend integration using Apollo GraphQL. Strong advocate for best coding practices and continuous learning, dedicated to creating delightful and effective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core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for over 10k dispensaries.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dynamic features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accessibility, and cross-browser compatibility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testing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management and design, ensuring alignment on user experience and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applications with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seamless data exchange and enhanced UI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maintain the quality of codebase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standardization.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in the development lifecycle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asset management and build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incorporated new frameworks and technologies into projects, leading to improved operational efficiency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testing strategies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applications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focusing particularly on creating clean and tested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daily stand-ups and sprint planning sessions to enhance team productivity and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open-source contributions, enhancing personal learning and promoting tech community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on web platforms leading to increased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coding efficiency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and UX teams to implement polished visual elements and improve overall usability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across applications, significantly improving data flow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end-to-end testing to ensure feature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Apollo 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API management and streamlined data fetching processes in collaboration with backend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setting best practices for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load times and responsiveness to ensure optimal performance across devices with various testing tools.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operational efficiency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new e-commerce feature releases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(ES6+)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back-end API integration, resulting in improved transaction completions.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collaboration across teams ensuring accurate code history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metrics using analytical tools leading to insights-driven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improved maintenance and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team in debugging and troubleshooting complex issues across web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Stack Overflow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developer communities for solutions. By streamlining these processes, we reduced turnaround time for bug fixes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 (ES6+), TypeScript, HTML5, CSS3,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React Query, Apollo GraphQL, Styled Components, Lodash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Jest, React Testing Library,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Bitbucket,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Performance Monitoring, Accessibility Standards, Cross-Browser Compatibility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