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robust solutions in backend systems, specializing in AI and machine learning infrastructure. Extensive expertise in building scalable applications and platforms utilizing Python and leading a cross-functional team to drive performance and compliance. Proven ability to design APIs and implement observability tools to enhance developer productivity and streamline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GenAI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diverse Upstart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and observable infrastructure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inference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configurable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intuitive tooling for engineers to efficiently harness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minimal complexity.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high performance and compliance of model integrations, leading several impactful projects successfully.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microservices architectures,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developer productivity through metrics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orchestration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automation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development efforts across multiple product teams, facilitating the adoption of generative AI tooling through reusable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reliability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scalability through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resource management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mitigated potential risks associated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adherence to emerging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explainability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the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to validate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the technical roadmap focusing on innovation while ensuring robustness and compliance throughout the project lifecycle.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front-end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service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accuracy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migration from development to production, maintaining application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paired programming sessions to elevate the quality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applications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flexible APIs for rich client-server interactions, improving the app's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observability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monitor application performance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processes, achieving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agile ceremonies, contributing to project scope and backlog prioritization.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culture of shared knowledge and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development of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communication between front-end applications and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storage and retrieval processes,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interfaces, enhancing user experience across mobile and desktop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scripts for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functionality before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daily stand-up meetings, delivering task updates and collaborating on problem-solving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Kotlin,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Flask, Spring, React,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LangChain, LlamaIndex, OpenAI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Datadog, Sentry,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Kafka, Apache Airflow,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FAISS, Pinecone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