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specializing in backend development and infrastructure services. Proven expertise in building scalable, fault-tolerant systems using modern cloud technologies and development practices. Adept at collaborating with cross-functional teams to translate product vision into tangible engineering solutions, coupled with a strong commitment to delivering high-quality, well-tested code and exceptional support to internal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processes and service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backend support and infrastructure for internal engineering tools, overseeing seamless performance and robust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define the system architecture for new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efficient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problem-solving, identifying root causes for service issues and implementing lasting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coding standards and test-driven development (TDD).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new tools and technologies, influencing roadmap decisions and enabling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services and architecture to streamline onboarding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for a user base growth of over 1 million.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set up reliable infrastructure, implementing cost-effective solutions behind various microservices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feature sets into detailed technical specifications for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CI/CD pipelines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deployments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seamless integration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software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backend services, leveraging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sprint planning and retrospectives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application responsiveness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internal services, contributing to knowledge sharing and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workflows that significantly improved processing times for large datasets.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company-wide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project tracking and internal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performance, significantly reducing bug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high-performance application features,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data stores.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service architecture improvements that led to an increase in system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for creating user-centric solutions while managing product lifecycle from concept to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and translated them into technical specifications with a focus on backend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profiling tools to enhance performance of backend services, achieving response time reductions in critical applications by 45%.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Go,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Express.js, Flask, Spring,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Cypress, Docker Compose,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