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crafting scalable backend systems. Proficient in developing and managing Python microservices, leveraging AWS, Docker, and Kubernetes to maximize system performance and reliability. Passionate about utilizing AI-driven technologies to enhance user experiences, and possess strong collaboration skills working in distributed teams. Proven track record in delivering high-quality customer experiences through innovative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Tomo’s platform, ensuring high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backend architecture decisions, including API design and integration patterns, leading to enhanced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customer-centric features, applying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release frequency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on-call support as part of an efficient operations model, reducing incident response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to ensure robust software delivery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more efficient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production systems, proactively addressing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workflows and enhance development efficiency, pushing the boundaries of conventional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applied emerging technologies to enrich backend systems and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team knowledge sharing sessions, fostering a culture of collaboration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cultivate a high-performing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customer experiences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facilitate seamless communication between frontend and backend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to streamline deployment processes, ensuring rapid iteration and testing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applications, improving the consistency of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user requirements into technical solutions, emphasizing data-driven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optimized database queries for improved efficiency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delivering quality software in sprints while adapting to evolving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various microservices, optimizing costs, and improving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that elevated code quality and ensured adherence to best practices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modern JavaScript frameworks, aligning backend capabilities with frontend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interactive educational experiences at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design and build APIs, ensuring accessibility and optimal performance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bug-fixing, enhancing the overall solidity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systems architecture to facilitate knowledge transfer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loops with stakeholders to continuously improve product features, resulting in a user satisfaction increase of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Bash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Microservices, API Design, GraphQL, Restful APIs,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DynamoDB,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ML Tools</w:t>
      </w:r>
      <w:r>
        <w:rPr>
          <w:rFonts w:asciiTheme="minorHAnsi" w:hAnsiTheme="minorHAnsi" w:cstheme="majorHAnsi"/>
          <w:lang w:val="en-US"/>
        </w:rPr>
        <w:t xml:space="preserve">: LLMs, TensorFlow, PyTorch, SciKit-Learn, OpenAI API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