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full stack web applications. Proficient in crafting efficient and high-quality software solutions, emphasizing user experience, maintainability, and architectural excellence. Excels in leading complex projects and collaborating effectively with cross-functional teams to drive a culture of technical excellence. Passionate about utilizing AI-driven technologies to enhance lending services and improve financial access.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 stack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Auto Finance platform that streamlined dealership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APIs for loan origination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software that meets both business needs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orchestration, enhancing the deployment process and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metrics related to conversion rates and user engagement,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code quality through rigorous testing practices, including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customer satisfaction and reduced onboarding times for new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 data retrieval and improving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on a significant project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robustness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a culture of continuous learning and technical excellence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to support scalable and maintainable application designs, ensuring modularity and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APIs, coding practices, and deployment strategies to ensure clarity for team members and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performance and scalability by developing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realizing faster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in Agile teams as a lead developer, ensuring that projects adhered to timelines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 for critical service components, enhancing reliability and improving issue resolution times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project workflow efficiencies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allowing continuous integration and smooth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in web applications, resulting in decreased load times and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sessions, actively collaborating with end-users to gather feedback and iterate on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growth and technical proficiency through comprehensive training on software engineering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including SQL query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interaction speeds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software architecture and API specifications for seamless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storage solutions, enabling efficient handling of user-uploaded data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cross-functional team discussions to align software goals with product vision, ensuring cohesive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tools to gather insights into application performance and user behavior, informing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security best practices, ensuring compliance with industry standards and protecting user data integrity and confidentiality.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regression testing plans, increasing testing coverage by 30% and ensuring application stability. Numerical measurement stated.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Ruby,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Spring Boot, Node.js,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GitHub Actions,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TDD, CI/CD, Microservices,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