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 robust applications and tools, specializing in backend development with a strong emphasis on PostgreSQL and AI-driven technologies. Proven ability to create scalable solutions for internal teams and enhance developer experiences with a focus on speed and flexibility. Adept at bridging the gap between product requirements and technical implementation, driving projects from conception through deployment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multiple internal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cross-departmental workflows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open-source contributions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developers, facilitating integration with AI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backend microservices that reduced internal tool latency and improved data processing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and product teams to iterate on user experiences for development tools, achieving a user-centered design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rapid prototyping and deployment of features, enabling teams to quickly adapt to emerging AI needs and market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improved scalability of AI applications and internal tools,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improvements on internal applications, reducing response times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deployments and robust rollback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ensure quick iterations and feedback loops within the development team, promoting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backend development and AI tool integration,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developer experience (DX) by implementing a feedback loop with internal users and adapting tools based on real-world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and robustness of tools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collaborative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user-facing applications, enhancing interactivity and responsiveness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real-time data synchronization, streamlining workflows for users across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architecture of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promoting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reliability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emphasizing a collaborative approach to product development and roadmap realization.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asynchronous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high-throughput tasks effectively within a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downtime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discussions surrounding architecture and tools, driving consensus on technology choices and project directions.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modules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Skillsoft's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online 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management and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more agile frameworks, improving response times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for e-learning functionalities, improving integration capabilities with external educational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document requirements for new features, ensuring alignment with user needs and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best practices in software development, focusing on emerging technologies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Ruby,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PostgreSQL, MongoDB, Redis, GraphQL,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r>
        <w:rPr>
          <w:rFonts w:asciiTheme="minorHAnsi" w:hAnsiTheme="minorHAnsi" w:cstheme="majorHAnsi"/>
          <w:lang w:val="en-US"/>
        </w:rPr>
        <w:t xml:space="preserve">: AWS, Docker, Kubernetes, GCP,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lang w:val="en-US"/>
        </w:rPr>
        <w:t xml:space="preserve">: TensorFlow, PyTorch, Scikit-Learn, spaCy, NLTK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lang w:val="en-US"/>
        </w:rPr>
        <w:t xml:space="preserve">: React, Node.js, Flask, Django, FastAPI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