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development professional with over 9 years of experience in designing, developing, and implementing backend solutions predominantly using Python and Django. Adept in leading and mentoring junior developers, optimizing code for performance, and collaborating in distributed teams to deliver high-quality software solutions. Passionate about contributing to innovative technologies in the video advertising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interactive video advertising solutions. Spearheaded multi-tenancy architecture for efficient resource utilization across advertisements.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discussions for system architecture, successfully implementing new features and system enhancements that boosted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developers, fostering knowledge-sharing practices and improving overall code quality through rigorous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scalable and robust cloud infrastructure, reducing deployment times by implementing automated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25% through strategic indexing and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 cross-functional teams across various time zones to align project goals, ensuring timely delivery of software features across 5 diverse geographical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unit tests, achieving a code coverage improvement from 60% to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load testing utilizing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solve bottlenecks in system performance during high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message queues, facilitating reliable communication between different service components within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and documentation, leading to improved developer onboarding and reduced knowledge silos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audits and proposed technical improvements, resulting in cleaner, more efficient, and maintainable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robust backend architecture of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heavily on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interactions through efficient state management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automated deployment processes and reduced downtime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applications, and improving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 exchange by leading workshops focused on backend development principles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a team of 10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solutions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costs with services such as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compute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task management, improving background processing capabilities and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actively participated in sprint retrospectives for continuous process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teams to align APIs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ensuring seamless interaction between services and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system architecture and technology stack, resulting in improved onboarding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content for online 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while gradually transitioning services to modern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future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streamlining project management and communication among development teams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projects from older RDBMS systems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performance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tracking and resolution,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workflows, significantly improving deploy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Celery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OpenSearch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