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professional development experience, specializing in full-stack development and technical leadership. Proven expertise in architecture design, mentoring junior engineers, and building high-performance applications using Typescript, Node, PostgreSQL, GraphQL, and React frameworks. Adept at driving projects from concept to production and collaborating with cross-functional teams to create user-centric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several critical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optimizing both client and server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robust RESTful APIs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consistency across internal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improving overall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 in best coding practices and new technologies,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AI-assisted coding tools to streamline the development process and improve engineer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application usability and user experience through careful design considerations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projects, facilitating stakeholder communication and ensuring alignment between product goals and technical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advanced data analytics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clients to gain deeper insights into their investment portfolios.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developer experience by proposing and implementing new build tools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improve system scalability and efficiency while addressing complex financial data processing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bottlenecks in existing systems and implemented solution strategies that improved performance during peak load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features for Asana’s project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data interactions for real-time updates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significantly during high-user 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design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experience through timely data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provide technical insights to improve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to handle specific application functionalities, improving code maintainability and deployment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focused on best practices and performance optimization, promoting a high-quality codebase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delivery practices that improved release cadence and reduced errors in production deployments while maintaining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update legacy systems with modern frameworks, enhancing team productivity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engineers on product architecture and development processes, improving ramp-up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agile updates and richer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in-house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persistent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supporting collaborative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clarity in architecture and functionality for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unit testing frameworks to ensure code quality and functionality, achieving above 90% code coverage on key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architect course delivery applications to meet educational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engagement by 30% through improved UI features and learning path options within our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React Query,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WebSocket, Express, Redux, AWS, Terraform, Nginx,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