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Engineer with over 9 years of experience in developing robust platform solutions. Proficient in leveraging Java, Spring Boot, and Kubernetes to create scalable applications. Demonstrated expertise in cloud technologies such as AWS and Azure, with a focus on CI/CD pipelines and DevOps best practices. Adept at collaborating within cross-functional teams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request handling and dynamic scaling, improving overall response time by optimizing streaming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smooth data integration across various services and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system resilience and deployment efficiency through automated scaling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RDS to enhance application performance and reliability in production environments,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legacy applications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practices in cloud architecture and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encourage knowledge sharing and consistent coding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resulting in a 30% increase in throughput without compromising on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collaboration in multi-team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development environment consistency and streamlined testing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observability of application metrics and quick resolution of system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closely with product owners and stakeholders to prioritize features and deliver progressive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software development and encouraging adoption of modern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 cloud-based resource management platform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boosting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reliable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a seamless workflow for resource tracking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responsive designs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effective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delivery and quality assurance of software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functional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coverage and consistent quality in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a new microservices-based platform, improving system scalability and maintainability features over monolithic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code reviews, establishing a system for tracking changes and ensuring high code quality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 meetings, promoting continuous improvement and adaptation of workflows based on team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understand their needs and incorporate feedback into product development, enhancing satisfaction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APIs and services, improving onboarding and reducing time to adequate system knowledge for new engineers.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internal training program that focused on new technologies such as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queries and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legacy systems by refactoring codebases and implementing best practices, leading to a notable reduction in bug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client onboarding by customizing features during integration and deployment phases, ensuring alignment with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and retrieval, thus improving data consistency and query resolution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task force addressing critical security updates and system vulnerabilities, achieving compliance with industry standards. Collaboration resulted in reducing potential risks by 45%.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 Express,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CI/CD,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SQL Server, Neo4j</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TDD, BDD,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