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specializing in C++ development, software architecture, and international compliance. Proven track record of leading complex engineering projects with emphasis on export compliance and multi-national collaboration. Passionate about leveraging deep technical expertise to drive innovative solutions in autonomy and robotics while ensuring stringent adherence to quality and safety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split of the software stack into EAR-controlled and export-cleared components to ensure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code boundaries and documentation standards to facilitate international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multi-country build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international engineering teams to deploy and integrate autonomy software on various maritime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reviews, ensuring export-cleared code meets high quality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robotic system integration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compliance workflows related to export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multi-national development teams, emphasizing access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commercial and international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among distributed teams through comprehensive technical documentation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tooling for automated compliance checks to streamline export-cleared software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in resolving complex technical challenges during international software integration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scalable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enhance software functionality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new features and improvements for our internal project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under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high code quality through pull requests and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embedded systems teams to integrate software features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to maintain code quality and reduce software bugs leveraging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deployment processes through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virtualization of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architectural guidelines, fostering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liaison between product management and engineering teams to refine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open-source educational software projects aimed at enhancing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a team of developers to enhance application features, improving overall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version control and coordinated team efforts through feature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to enrich platform functionality, ensuring robust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creation of technical documentation for improved onboarding processes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regulatory compliance discussions, gaining foundational knowledge about industry standards and policies, improving team awareness.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JavaScript, Java, HTML/CSS, SQL,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ROS, ROS2, Qt, OpenCV, TensorFlow,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Jenkins, CI/CD, REST APIs,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EAR, ITAR, Export Compliance, Safety Standards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