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proven expertise in building robust applications for non-technical users. Proficient in modern full-stack web development and committed to leveraging technology for environmental impact. Adept at developing interactive geospatial tools, automated workflows, and LIMS, utilizing a diverse tech stack including React, TypeScript, and Postgres. Strong communication skills and a track record of thriving in ambiguous, fast-paced environments, seeking to contribute to innovative carbon removal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optimize carbon removal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track a diverse array of real-world activities related to carbon capture.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workflows for data ingestion and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accurate representation of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user-centered applications tailored for non-technical stakeholders, enhancing usability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Laboratory Information Management System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manage tens of thousands of field samples, improving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and maintainable frontend applications,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scope projects and define technical requirements, maintaining effective communication throughout.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 culture of knowledge sharing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drive continuous improvement in application features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iterative development and feedback loops.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modern full-stack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seamless data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development workflows by implementing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business requirements into technical specifications and actionable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dashboards to visualize data trends and project progress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strategies including unit, integration, and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ongoing operational improvements through the monitoring and optimization of server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team efficiency and project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disseminate best practices in software development and architecture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technical input on project feasibility.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and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educational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SQL database solutions to manage user data and application state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functionalities and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technical troubleshooting and problem resolution for web application performance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ceremonies to enhance project management and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for staff and users on software usage and best practices, leading to increased usage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the development of eLearning solutions that improved user engagement and learning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Python, Ruby, Elixir,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Bootstrap, Tailwind CSS,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Phoenix, Elixir, Node.js, Express.js, Flask, Django, PostgreSQL, PostGIS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GraphQL, Apollo,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Terraform, Nginx, Apache,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