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Application Engineer with over 9 years of experience in the life sciences sector. Adept in developing and designing software architectures, signal processing, and UI/UX while ensuring compliance with regulatory standards. Expertise in programming languages including Python, C#, C++ and hands-on experience with agile methodologies. Committed to improving patient outcomes through innovative technology in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architecture for medical device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a scalable solution for ultrasound signal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in digital health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tested machine learning algorithms for ultrasound signal classification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diagnostic accuracy in patient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data flow and cloud-based services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unit testing under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Management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developments meet regulatory standards and internal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artifact management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development procedures, produced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 to represent design architecture, and maintained detailed code documentation in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60601-1-4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during agile sprints to refine product backlog and deliver solutions on time, fostering innovation in patient outcome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vendors and consultants, integrating third-party tools and ensuring consistent quality deliverables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debugging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software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application management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compliance with company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practices, mitigating risks associated with medical device software.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software development of a project management tool,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security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 user-friendly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adoption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rapid project deliveries and better alignment with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ensuring all team members remain updated on code iterations and enhancements from early project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new features and bug fixes for existing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core programming languages.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times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programming best practices, enhancing code quality and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stakeholders to gather requirements, translating them into technical tasks to enhance workflow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resource planning, increasing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engagement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digital learning tools, enhancing user experience and documentation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robustness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implement software features meeting educational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conceptualize product strategies and align technical goals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quality control efforts, ensuring software was compliant with technical specifications and industry standards, completing over 150 quality assurance checks.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C, C#, C++,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Qt, Django, Flask, React, Angular,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SQLite,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IEC 62304, ISO 60601-1-4, HIPAA, FDA Regulations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