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9 years of extensive experience in designing, developing, and maintaining robust applications using Java, Spring, Hibernate, and Microservices. Proficient in utilizing cutting-edge technologies and frameworks to deliver high-quality software solutions that enhance business productivity and user experience. Strong expertise in agile methodologies, cloud solutions like AWS, and implementing CI/CD pipelines for seamless development and deployment processes. Demonstrated success in collaborating with cross-functional teams to gather requirements and execute projects efficiently while ensuring best coding practices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application,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transitioning legacy monolithic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delivery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cost-effective and highly available infrastructure, optimizing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effective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enforced best practices, improving code quality by 25% through consistent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unit test coverage by 40%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stakeholders to analyze requirements, propose technical solutions, and prioritize development tasks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services and APIs to extend application functionalities and improve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user guides to assist team members and stakeholders, ensuring clarity and knowledge transfer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resolved critical issues to maintain optimal operations, achieving 95%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an Agile team structure, ensuring responsive design and functionality alignment with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enhancing application performance and integration with multiple data sources, purposefully scaling services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comprehensive data migration strategy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system reliability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collaboration with UX designers to wireframe and prototype user experiences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user onboarding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secure, maintainable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adhering to industry best practices. Received accolades for reduced security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DB schemas and optimized SQL queries to enhance application data processing efficiency further, driving faster analytics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functionality met rigorous testing standards throughout the SDLC.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ensure transparency and alignment across development teams, successfully delivering all milestones on time. Challenge: Improved team throughput by refining workflow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development tools, fostering a collaborative and educational environment in a remote work setting.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logging and monitoring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ability to diagnose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updated technology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new feature development and easier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promoting adoption of design patterns and object-oriented principles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student engagement through responsive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software development lifecycles from project inception to deployment, ensuring project goals were met through careful planning and execution strategies, maintaining a high standard of technical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features based on client feedback aligning with Agile methodologies, achieving higher satisfaction ratings from end-users. Satisfied 98% of user requests through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JavaScript, TypeScript,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Maven, Gradle, Git,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