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9 years of experience in developing technology-enabled solutions in risk and benefits management. Proficient in a range of programming languages and frameworks, with a strong focus on software development life cycle (SDLC), application architecture, and claims administration systems. Excels in a collaborative, diverse environment while adhering to best practices in software development and compliance.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software solutions to streamline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claims administration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retrieval and manipulation,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end-to-end troubleshooting and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JVM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tools to enhance software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experience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creating dynamic, client-side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load times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to microservices architecture, improving modularity and scalability with the aid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for new software features and translate them into technical specifications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integrity by implementing unit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ethically promoting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production issues with a 24/7 on-call rotation,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 analysis and incident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authentication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payment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 on new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interns, fostering a culture of continuous learning and improvement within the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applications to support data persistence.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API design and implementation efforts,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querying and updates across front-end and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through code refactoring and performance tuning, resulting in a measurable increase in application speed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resources provisioning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hosting costs by improving resource allocation.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authentication across web applications, leading to an improved security posture.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disaster recovery and business continuity planning activities, aligning with corporate compliance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 virtualization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and deployment processes through enhanced collaboration and resource using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meeting with stakeholders to provide project updates and gather feedback, ensuring alignment with client requirements.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back-end development of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strategic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and middleware for seamless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legacy systems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frontend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achieving a modern, responsive look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daily operations by maintaining installation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system deployment and configuration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code reviews, providing constructive feedback to promote learning and optimize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project documentation and providing user support, achieving enhanced stakeholder satisfaction via improved communication.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 Server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