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building high-performance web applications and APIs. Proficient in modern frameworks and technologies including Clojure, React, Next.js, and Postgres. Known for driving technical vision in collaborative environments and mentoring teams for improved productivity and innovation. Passionate about integrating cutting-edge solutions like blockchain and generative AI into robust software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and </w:t>
      </w:r>
      <w:r w:rsidRPr="00432203">
        <w:rPr>
          <w:rFonts w:asciiTheme="minorHAnsi" w:hAnsiTheme="minorHAnsi" w:cstheme="majorHAnsi"/>
          <w:b/>
          <w:bCs/>
          <w:lang w:val="en-US"/>
        </w:rPr>
        <w:t xml:space="preserve">highly performant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Clojure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by optimizing queries and index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user interfaces for web applications in a collaborative environment,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improve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architectural decisions and provided mentorship to junior engineers, fostering a culture of knowledge sharing and technical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new features rapidly,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Vercel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scaling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increase in code coverage and reduced bugs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design discussions and project planning for high-leverage engineering projects, aligning technical vision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user experience research activities, gathering feedback and iterating on UI designs to meet user needs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legacy banking systems, developing solutions that seamlessly integrated with modern tech stacks to ensure high reliability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interacting directly with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adjusting schemas and queries as needed for specific application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ensuring adherence to exceptional technical standards and best practices across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API documentation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making it easier for developers to understand and integrate APIs into their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enhance automated testing routines, incorporating tools like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of web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Asana's product suite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user-friendly interface for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collaborating with product managers and UI/UX designers to tailor applications to user needs through iterative design and feedback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data fetching in frontend applications, leading to reduced load times and improved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with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management processes across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components with </w:t>
      </w:r>
      <w:r w:rsidRPr="00432203">
        <w:rPr>
          <w:rFonts w:asciiTheme="minorHAnsi" w:eastAsia="Times New Roman" w:hAnsiTheme="minorHAnsi" w:cs="Times New Roman"/>
          <w:b/>
          <w:bCs/>
          <w:lang w:val="en-US"/>
        </w:rPr>
        <w:t xml:space="preserve">styled-components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modular and reusable styling, enhancing maintainability and scalability of UI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performance monitoring tools to identify bottlenecks in applications, leading to a 15% increase in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mentoring junior developers, aiding in the improvement of their coding skills and understanding of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migration strategies for legacy services, transitioning to microservices architecture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across components delivers a consistent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projects that leveraged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reducing operational costs.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multimedia e-learning platforms at Skillsoft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with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gathering sessions, translating them into technical specifications for web application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solutions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mobile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services to cloud solutions to improve uptime and scalability, utilizing platforms like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features with libraries like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on educational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 by implementing refactors based on the latest web standards, achieving a 30% faster page load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Vue, Ember,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Clojure, Node.js, Java, Go,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MongoDB,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Vercel,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Swagger, Postman, gRPC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