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Engineer with over 9 years of extensive experience in building responsive and high-performance web applications. Proficient in leading engineering teams to deliver robust user interfaces while adhering to best practices in coding and testing. Skilled in collaborating closely with cross-functional teams to translate business requirements into technical specifications, ensuring that solutions meet the highest standards of leading financial institutions.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web applications that improved user engagement through intuitive design and seamless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state, ensuring a smooth flow of data throughout critical web applications and enhancing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type safety in JavaScript applications, reducing runtime errors and improving code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high-fidelity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functional components, emphasizing accuracy and attention to detail.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monitoring solutions, significantly improving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backend functionalities, enhancing application scalability and reliability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elevate team performance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backlog grooming, to ensure timely delivery of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design systems library for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a cohesive UI experience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 and operational reliability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consistency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frontend components and services to assist both current and future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consumer-facing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roadmaps for product features,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frontend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features that adhere to accessibility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components, ensuring high consistency and quality in visual interface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performance metrics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addressing bottlenecks in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 and reducing bottlenecks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designers, ensuring that all user interfaces were built to spec and maintained high levels of usability and functionality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a shared codebase and enforcing quality through unit and integration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and improved code quality by proactively addressing outdated libraries and introducing upgraded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the frontend with RESTful APIs and associated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integrating payment gateways and third-party services to enhance application functionalities, ensuring secure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the importance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compliance and developed accessible features for all users, building a more inclusive digital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resulting in a 20% increase in application speed over a quarter.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Next.js,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Bootstrap, Tailwind CSS, Material-UI,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Grafana, OpenTelemetry, New Relic, Sentry, APM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