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9 years of expertise in developing scalable web applications and services. Proficient in a variety of programming languages and frameworks including Java, Python, Node.js, and React. Committed to delivering high-quality code through effective testing practices and CI/CD pipelines. Adept at leading engineering teams and collaborating cross-functionally to drive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design and deployment of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 availability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and delivery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deployments and updates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technical requirements and built features that drive customer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engineers, fostering knowledge sharing and technical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to ensure robust application performance and reliability, achieving 95% code coverage in key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enterprise-level applications that utilized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showcasing versatility in database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end-to-end testing processes, reducing bugs reported by end-users by 30%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functionalities, improving data retrieval speeds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retrospectives to drive continuous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introduced new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empower front-end developers and enhance application functionality.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diverse applications with a focus on platform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RESTful APIs that facilitated seamless data interactions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 teams to optimize SQL queries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efficiency of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reduction of frontend bugs by 25% during user acceptance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responsive web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end-user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tracking and incident management, implementing necessary code fixes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team members on best practices for software security, implementing OWASP guidelines in all web applications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by refactoring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times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client-facing applications through proactive communication with stakeholders, ensuring alignment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authentication, safeguarding user data and access.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and materials for educational technology, focusing on user engagement through interactive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produce updates and enhancements for existing applications,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software processes, ensuring transparency and clarity for future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educational experts to ignite innovative features in platforms that cater to diverse learning styles and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collaborative development and tracking of changes across systems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metrics, deploying necessary adjustments to maintain optimal application efficiency, achieving a 20% increase in the overall system response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